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458E">
      <w:pPr>
        <w:tabs>
          <w:tab w:val="left" w:pos="1560"/>
        </w:tabs>
        <w:spacing w:line="360" w:lineRule="auto"/>
        <w:jc w:val="left"/>
        <w:rPr>
          <w:rFonts w:ascii="楷体_GB2312" w:eastAsia="楷体_GB2312"/>
          <w:b/>
          <w:color w:val="000000"/>
          <w:sz w:val="32"/>
          <w:szCs w:val="32"/>
        </w:rPr>
      </w:pPr>
    </w:p>
    <w:p w14:paraId="677633C4">
      <w:pPr>
        <w:tabs>
          <w:tab w:val="left" w:pos="1560"/>
        </w:tabs>
        <w:spacing w:line="360" w:lineRule="auto"/>
        <w:jc w:val="left"/>
        <w:rPr>
          <w:rFonts w:ascii="楷体_GB2312" w:eastAsia="楷体_GB2312"/>
          <w:b/>
          <w:color w:val="000000"/>
          <w:sz w:val="32"/>
          <w:szCs w:val="32"/>
        </w:rPr>
      </w:pPr>
    </w:p>
    <w:p w14:paraId="1BD88203">
      <w:pPr>
        <w:tabs>
          <w:tab w:val="left" w:pos="1560"/>
        </w:tabs>
        <w:spacing w:line="360" w:lineRule="auto"/>
        <w:jc w:val="left"/>
        <w:rPr>
          <w:rFonts w:ascii="楷体_GB2312" w:eastAsia="楷体_GB2312"/>
          <w:b/>
          <w:color w:val="000000"/>
          <w:sz w:val="32"/>
          <w:szCs w:val="32"/>
        </w:rPr>
      </w:pPr>
    </w:p>
    <w:p w14:paraId="6E1037C2">
      <w:pPr>
        <w:spacing w:line="360" w:lineRule="auto"/>
        <w:jc w:val="center"/>
        <w:rPr>
          <w:rFonts w:hint="eastAsia" w:ascii="方正小标宋简体" w:hAnsi="方正小标宋简体" w:eastAsia="方正小标宋简体" w:cs="方正小标宋简体"/>
          <w:color w:val="000000"/>
          <w:sz w:val="52"/>
          <w:szCs w:val="18"/>
          <w:lang w:val="en-US" w:eastAsia="zh-CN"/>
        </w:rPr>
      </w:pPr>
      <w:r>
        <w:rPr>
          <w:rFonts w:hint="eastAsia" w:ascii="方正小标宋简体" w:hAnsi="方正小标宋简体" w:eastAsia="方正小标宋简体" w:cs="方正小标宋简体"/>
          <w:color w:val="000000"/>
          <w:sz w:val="52"/>
          <w:szCs w:val="18"/>
          <w:lang w:val="en-US" w:eastAsia="zh-CN"/>
        </w:rPr>
        <w:t>中国机械科学研究总院集团有限公司</w:t>
      </w:r>
    </w:p>
    <w:p w14:paraId="6CB14D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000000"/>
          <w:sz w:val="52"/>
          <w:szCs w:val="18"/>
        </w:rPr>
      </w:pPr>
      <w:r>
        <w:rPr>
          <w:rFonts w:hint="eastAsia" w:ascii="方正小标宋简体" w:hAnsi="方正小标宋简体" w:eastAsia="方正小标宋简体" w:cs="方正小标宋简体"/>
          <w:b w:val="0"/>
          <w:bCs/>
          <w:color w:val="000000"/>
          <w:sz w:val="52"/>
          <w:szCs w:val="18"/>
        </w:rPr>
        <w:t>招 标 文 件</w:t>
      </w:r>
    </w:p>
    <w:p w14:paraId="7F14061A">
      <w:pPr>
        <w:spacing w:line="360" w:lineRule="auto"/>
        <w:rPr>
          <w:rFonts w:ascii="楷体_GB2312" w:eastAsia="楷体_GB2312"/>
          <w:color w:val="000000"/>
          <w:sz w:val="32"/>
        </w:rPr>
      </w:pPr>
    </w:p>
    <w:p w14:paraId="1934AC8D">
      <w:pPr>
        <w:spacing w:line="360" w:lineRule="auto"/>
        <w:rPr>
          <w:rFonts w:ascii="楷体_GB2312" w:eastAsia="楷体_GB2312"/>
          <w:color w:val="000000"/>
          <w:sz w:val="32"/>
        </w:rPr>
      </w:pPr>
    </w:p>
    <w:p w14:paraId="3200A0AE">
      <w:pPr>
        <w:spacing w:line="360" w:lineRule="auto"/>
        <w:rPr>
          <w:rFonts w:ascii="楷体_GB2312" w:eastAsia="楷体_GB2312"/>
          <w:color w:val="000000"/>
          <w:sz w:val="32"/>
        </w:rPr>
      </w:pPr>
    </w:p>
    <w:p w14:paraId="551892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64" w:firstLineChars="300"/>
        <w:jc w:val="both"/>
        <w:textAlignment w:val="auto"/>
        <w:rPr>
          <w:rFonts w:hint="eastAsia" w:ascii="楷体_GB2312" w:eastAsia="楷体_GB2312"/>
          <w:b/>
          <w:color w:val="000000"/>
          <w:sz w:val="32"/>
          <w:szCs w:val="32"/>
        </w:rPr>
      </w:pPr>
      <w:r>
        <w:rPr>
          <w:rFonts w:hint="eastAsia" w:ascii="楷体_GB2312" w:eastAsia="楷体_GB2312"/>
          <w:b/>
          <w:color w:val="000000"/>
          <w:sz w:val="32"/>
          <w:szCs w:val="32"/>
        </w:rPr>
        <w:t>项目名称：</w:t>
      </w:r>
      <w:r>
        <w:rPr>
          <w:rFonts w:hint="eastAsia" w:ascii="楷体_GB2312" w:eastAsia="楷体_GB2312"/>
          <w:b/>
          <w:color w:val="000000"/>
          <w:sz w:val="32"/>
          <w:szCs w:val="32"/>
          <w:lang w:val="en-US" w:eastAsia="zh-CN"/>
        </w:rPr>
        <w:t>中国机械总院</w:t>
      </w:r>
      <w:r>
        <w:rPr>
          <w:rFonts w:hint="eastAsia" w:ascii="楷体_GB2312" w:eastAsia="楷体_GB2312"/>
          <w:b/>
          <w:color w:val="000000"/>
          <w:sz w:val="32"/>
          <w:szCs w:val="32"/>
        </w:rPr>
        <w:t>餐饮服务商公开招标项目</w:t>
      </w:r>
    </w:p>
    <w:p w14:paraId="53F4C7F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64" w:firstLineChars="300"/>
        <w:jc w:val="both"/>
        <w:textAlignment w:val="auto"/>
        <w:rPr>
          <w:rFonts w:hint="default" w:ascii="楷体_GB2312" w:eastAsia="楷体_GB2312"/>
          <w:b/>
          <w:color w:val="000000"/>
          <w:sz w:val="32"/>
          <w:szCs w:val="32"/>
          <w:lang w:val="en-US" w:eastAsia="zh-CN"/>
        </w:rPr>
      </w:pPr>
      <w:r>
        <w:rPr>
          <w:rFonts w:hint="eastAsia" w:ascii="楷体_GB2312" w:eastAsia="楷体_GB2312"/>
          <w:b/>
          <w:color w:val="000000"/>
          <w:sz w:val="32"/>
          <w:szCs w:val="32"/>
          <w:lang w:val="en-US" w:eastAsia="zh-CN"/>
        </w:rPr>
        <w:t>项目编号：2025CAMZB-001</w:t>
      </w:r>
    </w:p>
    <w:p w14:paraId="2A209026">
      <w:pPr>
        <w:widowControl/>
        <w:shd w:val="clear" w:color="auto" w:fill="FFFFFF"/>
        <w:spacing w:line="360" w:lineRule="auto"/>
        <w:rPr>
          <w:rFonts w:ascii="楷体_GB2312" w:eastAsia="楷体_GB2312"/>
          <w:color w:val="000000"/>
          <w:sz w:val="32"/>
        </w:rPr>
      </w:pPr>
    </w:p>
    <w:p w14:paraId="032790F3">
      <w:pPr>
        <w:widowControl/>
        <w:shd w:val="clear" w:color="auto" w:fill="FFFFFF"/>
        <w:spacing w:line="360" w:lineRule="auto"/>
        <w:rPr>
          <w:rFonts w:ascii="楷体_GB2312" w:eastAsia="楷体_GB2312"/>
          <w:color w:val="000000"/>
          <w:sz w:val="32"/>
        </w:rPr>
      </w:pPr>
    </w:p>
    <w:p w14:paraId="6FA8911A">
      <w:pPr>
        <w:widowControl/>
        <w:shd w:val="clear" w:color="auto" w:fill="FFFFFF"/>
        <w:spacing w:line="360" w:lineRule="auto"/>
        <w:rPr>
          <w:rFonts w:ascii="楷体_GB2312" w:eastAsia="楷体_GB2312"/>
          <w:color w:val="000000"/>
          <w:sz w:val="32"/>
        </w:rPr>
      </w:pPr>
    </w:p>
    <w:p w14:paraId="3869020A">
      <w:pPr>
        <w:widowControl/>
        <w:shd w:val="clear" w:color="auto" w:fill="FFFFFF"/>
        <w:spacing w:line="360" w:lineRule="auto"/>
        <w:rPr>
          <w:rFonts w:ascii="楷体_GB2312" w:eastAsia="楷体_GB2312"/>
          <w:color w:val="000000"/>
          <w:sz w:val="32"/>
        </w:rPr>
      </w:pPr>
    </w:p>
    <w:p w14:paraId="307AE402">
      <w:pPr>
        <w:keepNext w:val="0"/>
        <w:keepLines w:val="0"/>
        <w:pageBreakBefore w:val="0"/>
        <w:widowControl w:val="0"/>
        <w:kinsoku/>
        <w:wordWrap/>
        <w:overflowPunct/>
        <w:topLinePunct w:val="0"/>
        <w:autoSpaceDE/>
        <w:autoSpaceDN/>
        <w:bidi w:val="0"/>
        <w:adjustRightInd/>
        <w:snapToGrid/>
        <w:spacing w:line="360" w:lineRule="auto"/>
        <w:ind w:firstLine="964" w:firstLineChars="300"/>
        <w:textAlignment w:val="auto"/>
        <w:rPr>
          <w:rFonts w:hint="eastAsia" w:ascii="楷体_GB2312" w:eastAsia="楷体_GB2312"/>
          <w:b/>
          <w:color w:val="000000"/>
          <w:sz w:val="32"/>
          <w:lang w:eastAsia="zh-CN"/>
        </w:rPr>
      </w:pPr>
      <w:r>
        <w:rPr>
          <w:rFonts w:hint="eastAsia" w:ascii="楷体_GB2312" w:eastAsia="楷体_GB2312"/>
          <w:b/>
          <w:color w:val="000000"/>
          <w:sz w:val="32"/>
        </w:rPr>
        <w:t>招标人：</w:t>
      </w:r>
      <w:r>
        <w:rPr>
          <w:rFonts w:hint="eastAsia" w:ascii="楷体_GB2312" w:eastAsia="楷体_GB2312"/>
          <w:b/>
          <w:color w:val="000000"/>
          <w:sz w:val="32"/>
          <w:lang w:val="en-US" w:eastAsia="zh-CN"/>
        </w:rPr>
        <w:t>中国机械科学研究总院集团有限公司</w:t>
      </w:r>
    </w:p>
    <w:p w14:paraId="7F2ED73C">
      <w:pPr>
        <w:keepNext w:val="0"/>
        <w:keepLines w:val="0"/>
        <w:pageBreakBefore w:val="0"/>
        <w:widowControl w:val="0"/>
        <w:kinsoku/>
        <w:wordWrap/>
        <w:overflowPunct/>
        <w:topLinePunct w:val="0"/>
        <w:autoSpaceDE/>
        <w:autoSpaceDN/>
        <w:bidi w:val="0"/>
        <w:adjustRightInd/>
        <w:snapToGrid/>
        <w:spacing w:line="360" w:lineRule="auto"/>
        <w:ind w:firstLine="964" w:firstLineChars="300"/>
        <w:textAlignment w:val="auto"/>
        <w:rPr>
          <w:rFonts w:ascii="楷体_GB2312" w:eastAsia="楷体_GB2312"/>
          <w:b/>
          <w:color w:val="000000"/>
          <w:sz w:val="32"/>
        </w:rPr>
      </w:pPr>
    </w:p>
    <w:p w14:paraId="1F9558E2">
      <w:pPr>
        <w:spacing w:line="360" w:lineRule="auto"/>
        <w:jc w:val="center"/>
        <w:rPr>
          <w:rFonts w:hint="eastAsia" w:ascii="楷体_GB2312" w:hAnsi="宋体" w:eastAsia="楷体_GB2312"/>
          <w:b/>
          <w:color w:val="000000"/>
          <w:kern w:val="0"/>
          <w:sz w:val="32"/>
          <w:szCs w:val="32"/>
          <w:u w:val="single"/>
        </w:rPr>
      </w:pPr>
    </w:p>
    <w:p w14:paraId="7429342F">
      <w:pPr>
        <w:spacing w:line="360" w:lineRule="auto"/>
        <w:jc w:val="center"/>
        <w:rPr>
          <w:rFonts w:hint="eastAsia" w:ascii="楷体_GB2312" w:hAnsi="宋体" w:eastAsia="楷体_GB2312"/>
          <w:b/>
          <w:color w:val="000000"/>
          <w:kern w:val="0"/>
          <w:sz w:val="32"/>
          <w:szCs w:val="32"/>
          <w:u w:val="single"/>
        </w:rPr>
      </w:pPr>
    </w:p>
    <w:p w14:paraId="2627FA2F">
      <w:pPr>
        <w:spacing w:line="360" w:lineRule="auto"/>
        <w:jc w:val="center"/>
        <w:rPr>
          <w:rFonts w:hint="eastAsia" w:ascii="楷体_GB2312" w:hAnsi="宋体" w:eastAsia="楷体_GB2312"/>
          <w:b/>
          <w:color w:val="000000"/>
          <w:kern w:val="0"/>
          <w:sz w:val="32"/>
          <w:szCs w:val="32"/>
          <w:u w:val="single"/>
        </w:rPr>
      </w:pPr>
    </w:p>
    <w:p w14:paraId="6BFA0663">
      <w:pPr>
        <w:spacing w:line="360" w:lineRule="auto"/>
        <w:jc w:val="center"/>
        <w:rPr>
          <w:rFonts w:ascii="楷体_GB2312" w:eastAsia="楷体_GB2312"/>
          <w:b/>
          <w:color w:val="000000"/>
          <w:sz w:val="32"/>
          <w:szCs w:val="32"/>
        </w:rPr>
      </w:pPr>
      <w:r>
        <w:rPr>
          <w:rFonts w:hint="eastAsia" w:ascii="楷体_GB2312" w:hAnsi="宋体" w:eastAsia="楷体_GB2312"/>
          <w:b/>
          <w:color w:val="000000"/>
          <w:kern w:val="0"/>
          <w:sz w:val="32"/>
          <w:szCs w:val="32"/>
        </w:rPr>
        <w:t>二○二</w:t>
      </w:r>
      <w:r>
        <w:rPr>
          <w:rFonts w:hint="eastAsia" w:ascii="楷体_GB2312" w:hAnsi="宋体" w:eastAsia="楷体_GB2312"/>
          <w:b/>
          <w:color w:val="000000"/>
          <w:kern w:val="0"/>
          <w:sz w:val="32"/>
          <w:szCs w:val="32"/>
          <w:lang w:val="en-US" w:eastAsia="zh-CN"/>
        </w:rPr>
        <w:t>五</w:t>
      </w:r>
      <w:r>
        <w:rPr>
          <w:rFonts w:hint="eastAsia" w:ascii="楷体_GB2312" w:eastAsia="楷体_GB2312"/>
          <w:b/>
          <w:color w:val="000000"/>
          <w:sz w:val="32"/>
          <w:szCs w:val="32"/>
        </w:rPr>
        <w:t>年</w:t>
      </w:r>
      <w:r>
        <w:rPr>
          <w:rFonts w:hint="eastAsia" w:ascii="楷体_GB2312" w:eastAsia="楷体_GB2312"/>
          <w:b/>
          <w:color w:val="000000"/>
          <w:sz w:val="32"/>
          <w:szCs w:val="32"/>
          <w:lang w:val="en-US" w:eastAsia="zh-CN"/>
        </w:rPr>
        <w:t>一</w:t>
      </w:r>
      <w:r>
        <w:rPr>
          <w:rFonts w:hint="eastAsia" w:ascii="楷体_GB2312" w:eastAsia="楷体_GB2312"/>
          <w:b/>
          <w:color w:val="000000"/>
          <w:sz w:val="32"/>
          <w:szCs w:val="32"/>
        </w:rPr>
        <w:t>月</w:t>
      </w:r>
    </w:p>
    <w:p w14:paraId="4EB0302E">
      <w:pPr>
        <w:pStyle w:val="18"/>
        <w:spacing w:line="360" w:lineRule="auto"/>
        <w:rPr>
          <w:color w:val="000000"/>
        </w:rPr>
      </w:pPr>
      <w:r>
        <w:rPr>
          <w:b w:val="0"/>
          <w:bCs w:val="0"/>
          <w:caps w:val="0"/>
          <w:color w:val="000000"/>
          <w:sz w:val="44"/>
          <w:szCs w:val="44"/>
        </w:rPr>
        <w:br w:type="page"/>
      </w:r>
      <w:r>
        <w:rPr>
          <w:rFonts w:hint="eastAsia"/>
          <w:color w:val="000000"/>
          <w:sz w:val="44"/>
          <w:szCs w:val="44"/>
        </w:rPr>
        <w:t>目</w:t>
      </w:r>
      <w:r>
        <w:rPr>
          <w:color w:val="000000"/>
          <w:sz w:val="44"/>
          <w:szCs w:val="44"/>
        </w:rPr>
        <w:t xml:space="preserve">    </w:t>
      </w:r>
      <w:r>
        <w:rPr>
          <w:rFonts w:hint="eastAsia"/>
          <w:color w:val="000000"/>
          <w:sz w:val="44"/>
          <w:szCs w:val="44"/>
        </w:rPr>
        <w:t>录</w:t>
      </w:r>
    </w:p>
    <w:p w14:paraId="07FE6347">
      <w:pPr>
        <w:pStyle w:val="18"/>
        <w:spacing w:line="360" w:lineRule="auto"/>
        <w:rPr>
          <w:color w:val="000000"/>
        </w:rPr>
      </w:pPr>
    </w:p>
    <w:p w14:paraId="1B888E70">
      <w:pPr>
        <w:pStyle w:val="18"/>
        <w:tabs>
          <w:tab w:val="right" w:leader="dot" w:pos="8787"/>
          <w:tab w:val="clear" w:pos="8777"/>
        </w:tabs>
      </w:pPr>
      <w:r>
        <w:rPr>
          <w:color w:val="000000"/>
        </w:rPr>
        <w:fldChar w:fldCharType="begin"/>
      </w:r>
      <w:r>
        <w:rPr>
          <w:color w:val="000000"/>
        </w:rPr>
        <w:instrText xml:space="preserve"> TOC \o "1-2" \h \z \u </w:instrText>
      </w:r>
      <w:r>
        <w:rPr>
          <w:color w:val="000000"/>
        </w:rPr>
        <w:fldChar w:fldCharType="separate"/>
      </w:r>
      <w:r>
        <w:fldChar w:fldCharType="begin"/>
      </w:r>
      <w:r>
        <w:instrText xml:space="preserve"> HYPERLINK \l "_Toc30986" </w:instrText>
      </w:r>
      <w:r>
        <w:fldChar w:fldCharType="separate"/>
      </w:r>
      <w:r>
        <w:rPr>
          <w:rFonts w:hint="eastAsia"/>
          <w:bCs w:val="0"/>
        </w:rPr>
        <w:t>前</w:t>
      </w:r>
      <w:r>
        <w:rPr>
          <w:bCs w:val="0"/>
        </w:rPr>
        <w:t xml:space="preserve">   </w:t>
      </w:r>
      <w:r>
        <w:rPr>
          <w:rFonts w:hint="eastAsia"/>
          <w:bCs w:val="0"/>
        </w:rPr>
        <w:t>言</w:t>
      </w:r>
      <w:r>
        <w:tab/>
      </w:r>
      <w:r>
        <w:fldChar w:fldCharType="begin"/>
      </w:r>
      <w:r>
        <w:instrText xml:space="preserve"> PAGEREF _Toc30986 \h </w:instrText>
      </w:r>
      <w:r>
        <w:fldChar w:fldCharType="separate"/>
      </w:r>
      <w:r>
        <w:t>1</w:t>
      </w:r>
      <w:r>
        <w:fldChar w:fldCharType="end"/>
      </w:r>
      <w:r>
        <w:fldChar w:fldCharType="end"/>
      </w:r>
    </w:p>
    <w:p w14:paraId="1E40477E">
      <w:pPr>
        <w:pStyle w:val="18"/>
        <w:tabs>
          <w:tab w:val="right" w:leader="dot" w:pos="8787"/>
          <w:tab w:val="clear" w:pos="8777"/>
        </w:tabs>
      </w:pPr>
      <w:r>
        <w:fldChar w:fldCharType="begin"/>
      </w:r>
      <w:r>
        <w:instrText xml:space="preserve"> HYPERLINK \l "_Toc12564" </w:instrText>
      </w:r>
      <w:r>
        <w:fldChar w:fldCharType="separate"/>
      </w:r>
      <w:r>
        <w:rPr>
          <w:rFonts w:hint="eastAsia"/>
          <w:bCs w:val="0"/>
        </w:rPr>
        <w:t>第一部分</w:t>
      </w:r>
      <w:r>
        <w:rPr>
          <w:bCs w:val="0"/>
        </w:rPr>
        <w:t xml:space="preserve"> </w:t>
      </w:r>
      <w:r>
        <w:rPr>
          <w:rFonts w:hint="eastAsia"/>
          <w:bCs w:val="0"/>
        </w:rPr>
        <w:t>招标公告</w:t>
      </w:r>
      <w:r>
        <w:tab/>
      </w:r>
      <w:r>
        <w:fldChar w:fldCharType="begin"/>
      </w:r>
      <w:r>
        <w:instrText xml:space="preserve"> PAGEREF _Toc12564 \h </w:instrText>
      </w:r>
      <w:r>
        <w:fldChar w:fldCharType="separate"/>
      </w:r>
      <w:r>
        <w:t>1</w:t>
      </w:r>
      <w:r>
        <w:fldChar w:fldCharType="end"/>
      </w:r>
      <w:r>
        <w:fldChar w:fldCharType="end"/>
      </w:r>
    </w:p>
    <w:p w14:paraId="0A155437">
      <w:pPr>
        <w:pStyle w:val="18"/>
        <w:tabs>
          <w:tab w:val="right" w:leader="dot" w:pos="8787"/>
          <w:tab w:val="clear" w:pos="8777"/>
        </w:tabs>
      </w:pPr>
      <w:r>
        <w:fldChar w:fldCharType="begin"/>
      </w:r>
      <w:r>
        <w:instrText xml:space="preserve"> HYPERLINK \l "_Toc25110" </w:instrText>
      </w:r>
      <w:r>
        <w:fldChar w:fldCharType="separate"/>
      </w:r>
      <w:r>
        <w:rPr>
          <w:rFonts w:hint="eastAsia"/>
          <w:bCs w:val="0"/>
        </w:rPr>
        <w:t>第二部分</w:t>
      </w:r>
      <w:r>
        <w:rPr>
          <w:bCs w:val="0"/>
        </w:rPr>
        <w:t xml:space="preserve"> </w:t>
      </w:r>
      <w:r>
        <w:rPr>
          <w:rFonts w:hint="eastAsia"/>
          <w:bCs w:val="0"/>
        </w:rPr>
        <w:t>投标人须知</w:t>
      </w:r>
      <w:r>
        <w:tab/>
      </w:r>
      <w:r>
        <w:fldChar w:fldCharType="begin"/>
      </w:r>
      <w:r>
        <w:instrText xml:space="preserve"> PAGEREF _Toc25110 \h </w:instrText>
      </w:r>
      <w:r>
        <w:fldChar w:fldCharType="separate"/>
      </w:r>
      <w:r>
        <w:t>4</w:t>
      </w:r>
      <w:r>
        <w:fldChar w:fldCharType="end"/>
      </w:r>
      <w:r>
        <w:fldChar w:fldCharType="end"/>
      </w:r>
    </w:p>
    <w:p w14:paraId="5C7D2D39">
      <w:pPr>
        <w:pStyle w:val="22"/>
        <w:tabs>
          <w:tab w:val="right" w:leader="dot" w:pos="8787"/>
          <w:tab w:val="clear" w:pos="8777"/>
        </w:tabs>
      </w:pPr>
      <w:r>
        <w:fldChar w:fldCharType="begin"/>
      </w:r>
      <w:r>
        <w:instrText xml:space="preserve"> HYPERLINK \l "_Toc609" </w:instrText>
      </w:r>
      <w:r>
        <w:fldChar w:fldCharType="separate"/>
      </w:r>
      <w:r>
        <w:rPr>
          <w:rFonts w:hint="eastAsia"/>
          <w:bCs/>
        </w:rPr>
        <w:t>2.1 投标文件前附表</w:t>
      </w:r>
      <w:r>
        <w:tab/>
      </w:r>
      <w:r>
        <w:fldChar w:fldCharType="begin"/>
      </w:r>
      <w:r>
        <w:instrText xml:space="preserve"> PAGEREF _Toc609 \h </w:instrText>
      </w:r>
      <w:r>
        <w:fldChar w:fldCharType="separate"/>
      </w:r>
      <w:r>
        <w:t>4</w:t>
      </w:r>
      <w:r>
        <w:fldChar w:fldCharType="end"/>
      </w:r>
      <w:r>
        <w:fldChar w:fldCharType="end"/>
      </w:r>
    </w:p>
    <w:p w14:paraId="1423D78F">
      <w:pPr>
        <w:pStyle w:val="22"/>
        <w:tabs>
          <w:tab w:val="right" w:leader="dot" w:pos="8787"/>
          <w:tab w:val="clear" w:pos="8777"/>
        </w:tabs>
      </w:pPr>
      <w:r>
        <w:fldChar w:fldCharType="begin"/>
      </w:r>
      <w:r>
        <w:instrText xml:space="preserve"> HYPERLINK \l "_Toc3006" </w:instrText>
      </w:r>
      <w:r>
        <w:fldChar w:fldCharType="separate"/>
      </w:r>
      <w:r>
        <w:rPr>
          <w:rFonts w:hint="eastAsia"/>
          <w:bCs/>
        </w:rPr>
        <w:t>2.2 招标文件修订及澄清</w:t>
      </w:r>
      <w:r>
        <w:tab/>
      </w:r>
      <w:r>
        <w:fldChar w:fldCharType="begin"/>
      </w:r>
      <w:r>
        <w:instrText xml:space="preserve"> PAGEREF _Toc3006 \h </w:instrText>
      </w:r>
      <w:r>
        <w:fldChar w:fldCharType="separate"/>
      </w:r>
      <w:r>
        <w:t>6</w:t>
      </w:r>
      <w:r>
        <w:fldChar w:fldCharType="end"/>
      </w:r>
      <w:r>
        <w:fldChar w:fldCharType="end"/>
      </w:r>
    </w:p>
    <w:p w14:paraId="22BBA324">
      <w:pPr>
        <w:pStyle w:val="22"/>
        <w:tabs>
          <w:tab w:val="right" w:leader="dot" w:pos="8787"/>
          <w:tab w:val="clear" w:pos="8777"/>
        </w:tabs>
      </w:pPr>
      <w:r>
        <w:fldChar w:fldCharType="begin"/>
      </w:r>
      <w:r>
        <w:instrText xml:space="preserve"> HYPERLINK \l "_Toc4392" </w:instrText>
      </w:r>
      <w:r>
        <w:fldChar w:fldCharType="separate"/>
      </w:r>
      <w:r>
        <w:rPr>
          <w:rFonts w:hint="eastAsia"/>
          <w:bCs/>
        </w:rPr>
        <w:t>2.3 投标文件编制要求</w:t>
      </w:r>
      <w:r>
        <w:tab/>
      </w:r>
      <w:r>
        <w:fldChar w:fldCharType="begin"/>
      </w:r>
      <w:r>
        <w:instrText xml:space="preserve"> PAGEREF _Toc4392 \h </w:instrText>
      </w:r>
      <w:r>
        <w:fldChar w:fldCharType="separate"/>
      </w:r>
      <w:r>
        <w:t>7</w:t>
      </w:r>
      <w:r>
        <w:fldChar w:fldCharType="end"/>
      </w:r>
      <w:r>
        <w:fldChar w:fldCharType="end"/>
      </w:r>
    </w:p>
    <w:p w14:paraId="60BA5521">
      <w:pPr>
        <w:pStyle w:val="22"/>
        <w:tabs>
          <w:tab w:val="right" w:leader="dot" w:pos="8787"/>
          <w:tab w:val="clear" w:pos="8777"/>
        </w:tabs>
      </w:pPr>
      <w:r>
        <w:fldChar w:fldCharType="begin"/>
      </w:r>
      <w:r>
        <w:instrText xml:space="preserve"> HYPERLINK \l "_Toc26727" </w:instrText>
      </w:r>
      <w:r>
        <w:fldChar w:fldCharType="separate"/>
      </w:r>
      <w:r>
        <w:rPr>
          <w:rFonts w:hint="eastAsia"/>
          <w:bCs/>
        </w:rPr>
        <w:t>2.4 开标步骤和要求</w:t>
      </w:r>
      <w:r>
        <w:tab/>
      </w:r>
      <w:r>
        <w:fldChar w:fldCharType="begin"/>
      </w:r>
      <w:r>
        <w:instrText xml:space="preserve"> PAGEREF _Toc26727 \h </w:instrText>
      </w:r>
      <w:r>
        <w:fldChar w:fldCharType="separate"/>
      </w:r>
      <w:r>
        <w:t>10</w:t>
      </w:r>
      <w:r>
        <w:fldChar w:fldCharType="end"/>
      </w:r>
      <w:r>
        <w:fldChar w:fldCharType="end"/>
      </w:r>
    </w:p>
    <w:p w14:paraId="6E03CD36">
      <w:pPr>
        <w:pStyle w:val="22"/>
        <w:tabs>
          <w:tab w:val="right" w:leader="dot" w:pos="8787"/>
          <w:tab w:val="clear" w:pos="8777"/>
        </w:tabs>
      </w:pPr>
      <w:r>
        <w:fldChar w:fldCharType="begin"/>
      </w:r>
      <w:r>
        <w:instrText xml:space="preserve"> HYPERLINK \l "_Toc11881" </w:instrText>
      </w:r>
      <w:r>
        <w:fldChar w:fldCharType="separate"/>
      </w:r>
      <w:r>
        <w:rPr>
          <w:rFonts w:hint="eastAsia"/>
          <w:bCs/>
        </w:rPr>
        <w:t>2.5 评标步骤和要求</w:t>
      </w:r>
      <w:r>
        <w:tab/>
      </w:r>
      <w:r>
        <w:fldChar w:fldCharType="begin"/>
      </w:r>
      <w:r>
        <w:instrText xml:space="preserve"> PAGEREF _Toc11881 \h </w:instrText>
      </w:r>
      <w:r>
        <w:fldChar w:fldCharType="separate"/>
      </w:r>
      <w:r>
        <w:t>10</w:t>
      </w:r>
      <w:r>
        <w:fldChar w:fldCharType="end"/>
      </w:r>
      <w:r>
        <w:fldChar w:fldCharType="end"/>
      </w:r>
    </w:p>
    <w:p w14:paraId="2AEF4667">
      <w:pPr>
        <w:pStyle w:val="22"/>
        <w:tabs>
          <w:tab w:val="right" w:leader="dot" w:pos="8787"/>
          <w:tab w:val="clear" w:pos="8777"/>
        </w:tabs>
      </w:pPr>
      <w:r>
        <w:fldChar w:fldCharType="begin"/>
      </w:r>
      <w:r>
        <w:instrText xml:space="preserve"> HYPERLINK \l "_Toc12949" </w:instrText>
      </w:r>
      <w:r>
        <w:fldChar w:fldCharType="separate"/>
      </w:r>
      <w:r>
        <w:rPr>
          <w:rFonts w:hint="eastAsia"/>
          <w:bCs/>
        </w:rPr>
        <w:t>2.6 中标及合同签署要求</w:t>
      </w:r>
      <w:r>
        <w:tab/>
      </w:r>
      <w:r>
        <w:fldChar w:fldCharType="begin"/>
      </w:r>
      <w:r>
        <w:instrText xml:space="preserve"> PAGEREF _Toc12949 \h </w:instrText>
      </w:r>
      <w:r>
        <w:fldChar w:fldCharType="separate"/>
      </w:r>
      <w:r>
        <w:t>11</w:t>
      </w:r>
      <w:r>
        <w:fldChar w:fldCharType="end"/>
      </w:r>
      <w:r>
        <w:fldChar w:fldCharType="end"/>
      </w:r>
    </w:p>
    <w:p w14:paraId="424BB818">
      <w:pPr>
        <w:pStyle w:val="22"/>
        <w:tabs>
          <w:tab w:val="right" w:leader="dot" w:pos="8787"/>
          <w:tab w:val="clear" w:pos="8777"/>
        </w:tabs>
      </w:pPr>
      <w:r>
        <w:fldChar w:fldCharType="begin"/>
      </w:r>
      <w:r>
        <w:instrText xml:space="preserve"> HYPERLINK \l "_Toc14125" </w:instrText>
      </w:r>
      <w:r>
        <w:fldChar w:fldCharType="separate"/>
      </w:r>
      <w:r>
        <w:rPr>
          <w:rFonts w:hint="eastAsia"/>
          <w:bCs/>
        </w:rPr>
        <w:t>2.7 处罚、询问和质疑</w:t>
      </w:r>
      <w:r>
        <w:tab/>
      </w:r>
      <w:r>
        <w:fldChar w:fldCharType="begin"/>
      </w:r>
      <w:r>
        <w:instrText xml:space="preserve"> PAGEREF _Toc14125 \h </w:instrText>
      </w:r>
      <w:r>
        <w:fldChar w:fldCharType="separate"/>
      </w:r>
      <w:r>
        <w:t>12</w:t>
      </w:r>
      <w:r>
        <w:fldChar w:fldCharType="end"/>
      </w:r>
      <w:r>
        <w:fldChar w:fldCharType="end"/>
      </w:r>
    </w:p>
    <w:p w14:paraId="1CF3FE21">
      <w:pPr>
        <w:pStyle w:val="22"/>
        <w:tabs>
          <w:tab w:val="right" w:leader="dot" w:pos="8787"/>
          <w:tab w:val="clear" w:pos="8777"/>
        </w:tabs>
      </w:pPr>
      <w:r>
        <w:fldChar w:fldCharType="begin"/>
      </w:r>
      <w:r>
        <w:instrText xml:space="preserve"> HYPERLINK \l "_Toc31488" </w:instrText>
      </w:r>
      <w:r>
        <w:fldChar w:fldCharType="separate"/>
      </w:r>
      <w:r>
        <w:rPr>
          <w:rFonts w:hint="eastAsia"/>
          <w:bCs/>
        </w:rPr>
        <w:t>2.8 保密和披露</w:t>
      </w:r>
      <w:r>
        <w:tab/>
      </w:r>
      <w:r>
        <w:fldChar w:fldCharType="begin"/>
      </w:r>
      <w:r>
        <w:instrText xml:space="preserve"> PAGEREF _Toc31488 \h </w:instrText>
      </w:r>
      <w:r>
        <w:fldChar w:fldCharType="separate"/>
      </w:r>
      <w:r>
        <w:t>12</w:t>
      </w:r>
      <w:r>
        <w:fldChar w:fldCharType="end"/>
      </w:r>
      <w:r>
        <w:fldChar w:fldCharType="end"/>
      </w:r>
    </w:p>
    <w:p w14:paraId="492B3A8B">
      <w:pPr>
        <w:pStyle w:val="18"/>
        <w:tabs>
          <w:tab w:val="right" w:leader="dot" w:pos="8787"/>
          <w:tab w:val="clear" w:pos="8777"/>
        </w:tabs>
      </w:pPr>
      <w:r>
        <w:fldChar w:fldCharType="begin"/>
      </w:r>
      <w:r>
        <w:instrText xml:space="preserve"> HYPERLINK \l "_Toc27622" </w:instrText>
      </w:r>
      <w:r>
        <w:fldChar w:fldCharType="separate"/>
      </w:r>
      <w:r>
        <w:rPr>
          <w:rFonts w:hint="eastAsia"/>
          <w:bCs w:val="0"/>
        </w:rPr>
        <w:t>第三部分</w:t>
      </w:r>
      <w:r>
        <w:rPr>
          <w:bCs w:val="0"/>
        </w:rPr>
        <w:t xml:space="preserve"> </w:t>
      </w:r>
      <w:r>
        <w:rPr>
          <w:rFonts w:hint="eastAsia"/>
          <w:bCs w:val="0"/>
        </w:rPr>
        <w:t>评标标准和评标办法</w:t>
      </w:r>
      <w:r>
        <w:tab/>
      </w:r>
      <w:r>
        <w:fldChar w:fldCharType="begin"/>
      </w:r>
      <w:r>
        <w:instrText xml:space="preserve"> PAGEREF _Toc27622 \h </w:instrText>
      </w:r>
      <w:r>
        <w:fldChar w:fldCharType="separate"/>
      </w:r>
      <w:r>
        <w:t>14</w:t>
      </w:r>
      <w:r>
        <w:fldChar w:fldCharType="end"/>
      </w:r>
      <w:r>
        <w:fldChar w:fldCharType="end"/>
      </w:r>
    </w:p>
    <w:p w14:paraId="44AE6010">
      <w:pPr>
        <w:pStyle w:val="22"/>
        <w:tabs>
          <w:tab w:val="right" w:leader="dot" w:pos="8787"/>
          <w:tab w:val="clear" w:pos="8777"/>
        </w:tabs>
      </w:pPr>
      <w:r>
        <w:fldChar w:fldCharType="begin"/>
      </w:r>
      <w:r>
        <w:instrText xml:space="preserve"> HYPERLINK \l "_Toc4227" </w:instrText>
      </w:r>
      <w:r>
        <w:fldChar w:fldCharType="separate"/>
      </w:r>
      <w:r>
        <w:rPr>
          <w:rFonts w:hint="eastAsia"/>
          <w:bCs/>
        </w:rPr>
        <w:t>3.1 符合性审查要求</w:t>
      </w:r>
      <w:r>
        <w:tab/>
      </w:r>
      <w:r>
        <w:fldChar w:fldCharType="begin"/>
      </w:r>
      <w:r>
        <w:instrText xml:space="preserve"> PAGEREF _Toc4227 \h </w:instrText>
      </w:r>
      <w:r>
        <w:fldChar w:fldCharType="separate"/>
      </w:r>
      <w:r>
        <w:t>14</w:t>
      </w:r>
      <w:r>
        <w:fldChar w:fldCharType="end"/>
      </w:r>
      <w:r>
        <w:fldChar w:fldCharType="end"/>
      </w:r>
    </w:p>
    <w:p w14:paraId="3D47DF35">
      <w:pPr>
        <w:pStyle w:val="22"/>
        <w:tabs>
          <w:tab w:val="right" w:leader="dot" w:pos="8787"/>
          <w:tab w:val="clear" w:pos="8777"/>
        </w:tabs>
      </w:pPr>
      <w:r>
        <w:fldChar w:fldCharType="begin"/>
      </w:r>
      <w:r>
        <w:instrText xml:space="preserve"> HYPERLINK \l "_Toc30574" </w:instrText>
      </w:r>
      <w:r>
        <w:fldChar w:fldCharType="separate"/>
      </w:r>
      <w:r>
        <w:rPr>
          <w:rFonts w:hint="eastAsia"/>
          <w:bCs/>
        </w:rPr>
        <w:t>3.2 评标标准</w:t>
      </w:r>
      <w:r>
        <w:tab/>
      </w:r>
      <w:r>
        <w:fldChar w:fldCharType="begin"/>
      </w:r>
      <w:r>
        <w:instrText xml:space="preserve"> PAGEREF _Toc30574 \h </w:instrText>
      </w:r>
      <w:r>
        <w:fldChar w:fldCharType="separate"/>
      </w:r>
      <w:r>
        <w:t>14</w:t>
      </w:r>
      <w:r>
        <w:fldChar w:fldCharType="end"/>
      </w:r>
      <w:r>
        <w:fldChar w:fldCharType="end"/>
      </w:r>
    </w:p>
    <w:p w14:paraId="76EB01B5">
      <w:pPr>
        <w:pStyle w:val="22"/>
        <w:tabs>
          <w:tab w:val="right" w:leader="dot" w:pos="8787"/>
          <w:tab w:val="clear" w:pos="8777"/>
        </w:tabs>
      </w:pPr>
      <w:r>
        <w:fldChar w:fldCharType="begin"/>
      </w:r>
      <w:r>
        <w:instrText xml:space="preserve"> HYPERLINK \l "_Toc21588" </w:instrText>
      </w:r>
      <w:r>
        <w:fldChar w:fldCharType="separate"/>
      </w:r>
      <w:r>
        <w:rPr>
          <w:rFonts w:hint="eastAsia"/>
          <w:bCs/>
        </w:rPr>
        <w:t>3.3 评标办法</w:t>
      </w:r>
      <w:r>
        <w:tab/>
      </w:r>
      <w:r>
        <w:fldChar w:fldCharType="begin"/>
      </w:r>
      <w:r>
        <w:instrText xml:space="preserve"> PAGEREF _Toc21588 \h </w:instrText>
      </w:r>
      <w:r>
        <w:fldChar w:fldCharType="separate"/>
      </w:r>
      <w:r>
        <w:t>15</w:t>
      </w:r>
      <w:r>
        <w:fldChar w:fldCharType="end"/>
      </w:r>
      <w:r>
        <w:fldChar w:fldCharType="end"/>
      </w:r>
    </w:p>
    <w:p w14:paraId="2A86D6B3">
      <w:pPr>
        <w:pStyle w:val="18"/>
        <w:tabs>
          <w:tab w:val="right" w:leader="dot" w:pos="8787"/>
          <w:tab w:val="clear" w:pos="8777"/>
        </w:tabs>
      </w:pPr>
      <w:r>
        <w:fldChar w:fldCharType="begin"/>
      </w:r>
      <w:r>
        <w:instrText xml:space="preserve"> HYPERLINK \l "_Toc6367" </w:instrText>
      </w:r>
      <w:r>
        <w:fldChar w:fldCharType="separate"/>
      </w:r>
      <w:r>
        <w:rPr>
          <w:rFonts w:hint="eastAsia"/>
          <w:bCs w:val="0"/>
        </w:rPr>
        <w:t>第四部分</w:t>
      </w:r>
      <w:r>
        <w:rPr>
          <w:bCs w:val="0"/>
        </w:rPr>
        <w:t xml:space="preserve"> </w:t>
      </w:r>
      <w:r>
        <w:rPr>
          <w:rFonts w:hint="eastAsia"/>
          <w:bCs w:val="0"/>
        </w:rPr>
        <w:t>技术要求和服务要求</w:t>
      </w:r>
      <w:r>
        <w:tab/>
      </w:r>
      <w:r>
        <w:fldChar w:fldCharType="begin"/>
      </w:r>
      <w:r>
        <w:instrText xml:space="preserve"> PAGEREF _Toc6367 \h </w:instrText>
      </w:r>
      <w:r>
        <w:fldChar w:fldCharType="separate"/>
      </w:r>
      <w:r>
        <w:t>19</w:t>
      </w:r>
      <w:r>
        <w:fldChar w:fldCharType="end"/>
      </w:r>
      <w:r>
        <w:fldChar w:fldCharType="end"/>
      </w:r>
    </w:p>
    <w:p w14:paraId="0A7A20D4">
      <w:pPr>
        <w:pStyle w:val="22"/>
        <w:tabs>
          <w:tab w:val="right" w:leader="dot" w:pos="8787"/>
          <w:tab w:val="clear" w:pos="8777"/>
        </w:tabs>
      </w:pPr>
      <w:r>
        <w:fldChar w:fldCharType="begin"/>
      </w:r>
      <w:r>
        <w:instrText xml:space="preserve"> HYPERLINK \l "_Toc18679" </w:instrText>
      </w:r>
      <w:r>
        <w:fldChar w:fldCharType="separate"/>
      </w:r>
      <w:r>
        <w:rPr>
          <w:rFonts w:hint="eastAsia"/>
          <w:bCs/>
        </w:rPr>
        <w:t>4.1 招标货物或服务需求清单</w:t>
      </w:r>
      <w:r>
        <w:tab/>
      </w:r>
      <w:r>
        <w:fldChar w:fldCharType="begin"/>
      </w:r>
      <w:r>
        <w:instrText xml:space="preserve"> PAGEREF _Toc18679 \h </w:instrText>
      </w:r>
      <w:r>
        <w:fldChar w:fldCharType="separate"/>
      </w:r>
      <w:r>
        <w:t>19</w:t>
      </w:r>
      <w:r>
        <w:fldChar w:fldCharType="end"/>
      </w:r>
      <w:r>
        <w:fldChar w:fldCharType="end"/>
      </w:r>
    </w:p>
    <w:p w14:paraId="30F0A18F">
      <w:pPr>
        <w:pStyle w:val="18"/>
        <w:tabs>
          <w:tab w:val="right" w:leader="dot" w:pos="8787"/>
          <w:tab w:val="clear" w:pos="8777"/>
        </w:tabs>
      </w:pPr>
      <w:r>
        <w:fldChar w:fldCharType="begin"/>
      </w:r>
      <w:r>
        <w:instrText xml:space="preserve"> HYPERLINK \l "_Toc20789" </w:instrText>
      </w:r>
      <w:r>
        <w:fldChar w:fldCharType="separate"/>
      </w:r>
      <w:r>
        <w:rPr>
          <w:rFonts w:hint="eastAsia"/>
          <w:bCs w:val="0"/>
        </w:rPr>
        <w:t>第五部分</w:t>
      </w:r>
      <w:r>
        <w:rPr>
          <w:bCs w:val="0"/>
        </w:rPr>
        <w:t xml:space="preserve"> </w:t>
      </w:r>
      <w:r>
        <w:rPr>
          <w:rFonts w:hint="eastAsia"/>
          <w:bCs w:val="0"/>
        </w:rPr>
        <w:t>投标文件格式</w:t>
      </w:r>
      <w:r>
        <w:tab/>
      </w:r>
      <w:r>
        <w:fldChar w:fldCharType="begin"/>
      </w:r>
      <w:r>
        <w:instrText xml:space="preserve"> PAGEREF _Toc20789 \h </w:instrText>
      </w:r>
      <w:r>
        <w:fldChar w:fldCharType="separate"/>
      </w:r>
      <w:r>
        <w:t>27</w:t>
      </w:r>
      <w:r>
        <w:fldChar w:fldCharType="end"/>
      </w:r>
      <w:r>
        <w:fldChar w:fldCharType="end"/>
      </w:r>
    </w:p>
    <w:p w14:paraId="541FCD07">
      <w:pPr>
        <w:pStyle w:val="22"/>
        <w:tabs>
          <w:tab w:val="right" w:leader="dot" w:pos="8787"/>
          <w:tab w:val="clear" w:pos="8777"/>
        </w:tabs>
      </w:pPr>
      <w:r>
        <w:fldChar w:fldCharType="begin"/>
      </w:r>
      <w:r>
        <w:instrText xml:space="preserve"> HYPERLINK \l "_Toc31194" </w:instrText>
      </w:r>
      <w:r>
        <w:fldChar w:fldCharType="separate"/>
      </w:r>
      <w:r>
        <w:rPr>
          <w:rFonts w:hint="eastAsia"/>
          <w:bCs/>
        </w:rPr>
        <w:t>5.1 投标文件目录编制格式</w:t>
      </w:r>
      <w:r>
        <w:tab/>
      </w:r>
      <w:r>
        <w:fldChar w:fldCharType="begin"/>
      </w:r>
      <w:r>
        <w:instrText xml:space="preserve"> PAGEREF _Toc31194 \h </w:instrText>
      </w:r>
      <w:r>
        <w:fldChar w:fldCharType="separate"/>
      </w:r>
      <w:r>
        <w:t>28</w:t>
      </w:r>
      <w:r>
        <w:fldChar w:fldCharType="end"/>
      </w:r>
      <w:r>
        <w:fldChar w:fldCharType="end"/>
      </w:r>
    </w:p>
    <w:p w14:paraId="72CA02C3">
      <w:pPr>
        <w:pStyle w:val="22"/>
        <w:tabs>
          <w:tab w:val="right" w:leader="dot" w:pos="8787"/>
          <w:tab w:val="clear" w:pos="8777"/>
        </w:tabs>
      </w:pPr>
      <w:r>
        <w:fldChar w:fldCharType="begin"/>
      </w:r>
      <w:r>
        <w:instrText xml:space="preserve"> HYPERLINK \l "_Toc23297" </w:instrText>
      </w:r>
      <w:r>
        <w:fldChar w:fldCharType="separate"/>
      </w:r>
      <w:r>
        <w:rPr>
          <w:rFonts w:hint="eastAsia"/>
          <w:bCs/>
        </w:rPr>
        <w:t>5.2 商务部分编制格式</w:t>
      </w:r>
      <w:r>
        <w:tab/>
      </w:r>
      <w:r>
        <w:fldChar w:fldCharType="begin"/>
      </w:r>
      <w:r>
        <w:instrText xml:space="preserve"> PAGEREF _Toc23297 \h </w:instrText>
      </w:r>
      <w:r>
        <w:fldChar w:fldCharType="separate"/>
      </w:r>
      <w:r>
        <w:t>29</w:t>
      </w:r>
      <w:r>
        <w:fldChar w:fldCharType="end"/>
      </w:r>
      <w:r>
        <w:fldChar w:fldCharType="end"/>
      </w:r>
    </w:p>
    <w:p w14:paraId="210B7805">
      <w:pPr>
        <w:pStyle w:val="22"/>
        <w:tabs>
          <w:tab w:val="right" w:leader="dot" w:pos="8787"/>
          <w:tab w:val="clear" w:pos="8777"/>
        </w:tabs>
      </w:pPr>
      <w:r>
        <w:fldChar w:fldCharType="begin"/>
      </w:r>
      <w:r>
        <w:instrText xml:space="preserve"> HYPERLINK \l "_Toc2233" </w:instrText>
      </w:r>
      <w:r>
        <w:fldChar w:fldCharType="separate"/>
      </w:r>
      <w:r>
        <w:rPr>
          <w:rFonts w:hint="eastAsia"/>
          <w:bCs/>
        </w:rPr>
        <w:t>5.3 技术及服务部分编制格式</w:t>
      </w:r>
      <w:r>
        <w:tab/>
      </w:r>
      <w:r>
        <w:fldChar w:fldCharType="begin"/>
      </w:r>
      <w:r>
        <w:instrText xml:space="preserve"> PAGEREF _Toc2233 \h </w:instrText>
      </w:r>
      <w:r>
        <w:fldChar w:fldCharType="separate"/>
      </w:r>
      <w:r>
        <w:t>35</w:t>
      </w:r>
      <w:r>
        <w:fldChar w:fldCharType="end"/>
      </w:r>
      <w:r>
        <w:fldChar w:fldCharType="end"/>
      </w:r>
    </w:p>
    <w:p w14:paraId="1B8638D3">
      <w:pPr>
        <w:pStyle w:val="18"/>
        <w:tabs>
          <w:tab w:val="right" w:leader="dot" w:pos="8787"/>
          <w:tab w:val="clear" w:pos="8777"/>
        </w:tabs>
      </w:pPr>
      <w:r>
        <w:fldChar w:fldCharType="begin"/>
      </w:r>
      <w:r>
        <w:instrText xml:space="preserve"> HYPERLINK \l "_Toc9400" </w:instrText>
      </w:r>
      <w:r>
        <w:fldChar w:fldCharType="separate"/>
      </w:r>
      <w:r>
        <w:rPr>
          <w:rFonts w:hint="eastAsia"/>
          <w:bCs w:val="0"/>
        </w:rPr>
        <w:t>第六部分</w:t>
      </w:r>
      <w:r>
        <w:rPr>
          <w:bCs w:val="0"/>
        </w:rPr>
        <w:t xml:space="preserve"> </w:t>
      </w:r>
      <w:r>
        <w:rPr>
          <w:rFonts w:hint="eastAsia"/>
          <w:bCs w:val="0"/>
        </w:rPr>
        <w:t>附件</w:t>
      </w:r>
      <w:r>
        <w:tab/>
      </w:r>
      <w:r>
        <w:fldChar w:fldCharType="begin"/>
      </w:r>
      <w:r>
        <w:instrText xml:space="preserve"> PAGEREF _Toc9400 \h </w:instrText>
      </w:r>
      <w:r>
        <w:fldChar w:fldCharType="separate"/>
      </w:r>
      <w:r>
        <w:t>39</w:t>
      </w:r>
      <w:r>
        <w:fldChar w:fldCharType="end"/>
      </w:r>
      <w:r>
        <w:fldChar w:fldCharType="end"/>
      </w:r>
    </w:p>
    <w:p w14:paraId="2DCAFF7F">
      <w:pPr>
        <w:rPr>
          <w:b/>
          <w:color w:val="000000"/>
          <w:sz w:val="28"/>
          <w:szCs w:val="28"/>
        </w:rPr>
      </w:pPr>
      <w:r>
        <w:rPr>
          <w:color w:val="000000"/>
          <w:szCs w:val="28"/>
        </w:rPr>
        <w:fldChar w:fldCharType="end"/>
      </w:r>
    </w:p>
    <w:p w14:paraId="77FED627">
      <w:pPr>
        <w:pStyle w:val="2"/>
        <w:rPr>
          <w:b w:val="0"/>
          <w:bCs w:val="0"/>
          <w:color w:val="000000"/>
        </w:rPr>
        <w:sectPr>
          <w:headerReference r:id="rId3" w:type="default"/>
          <w:footerReference r:id="rId4" w:type="default"/>
          <w:pgSz w:w="11906" w:h="16838"/>
          <w:pgMar w:top="1418" w:right="1418" w:bottom="1418" w:left="1701" w:header="851" w:footer="851" w:gutter="0"/>
          <w:cols w:space="720" w:num="1"/>
          <w:titlePg/>
          <w:docGrid w:type="lines" w:linePitch="312" w:charSpace="0"/>
        </w:sectPr>
      </w:pPr>
    </w:p>
    <w:p w14:paraId="22B63079">
      <w:pPr>
        <w:pStyle w:val="2"/>
        <w:rPr>
          <w:b w:val="0"/>
          <w:bCs w:val="0"/>
          <w:color w:val="000000"/>
        </w:rPr>
      </w:pPr>
      <w:bookmarkStart w:id="0" w:name="_Toc30986"/>
      <w:r>
        <w:rPr>
          <w:rFonts w:hint="eastAsia"/>
          <w:b w:val="0"/>
          <w:bCs w:val="0"/>
          <w:color w:val="000000"/>
        </w:rPr>
        <w:t>前</w:t>
      </w:r>
      <w:r>
        <w:rPr>
          <w:b w:val="0"/>
          <w:bCs w:val="0"/>
          <w:color w:val="000000"/>
        </w:rPr>
        <w:t xml:space="preserve">   </w:t>
      </w:r>
      <w:r>
        <w:rPr>
          <w:rFonts w:hint="eastAsia"/>
          <w:b w:val="0"/>
          <w:bCs w:val="0"/>
          <w:color w:val="000000"/>
        </w:rPr>
        <w:t>言</w:t>
      </w:r>
      <w:bookmarkEnd w:id="0"/>
    </w:p>
    <w:p w14:paraId="726CB22D">
      <w:pPr>
        <w:spacing w:line="360" w:lineRule="auto"/>
        <w:ind w:firstLine="420"/>
        <w:rPr>
          <w:color w:val="000000"/>
        </w:rPr>
      </w:pPr>
      <w:r>
        <w:rPr>
          <w:rFonts w:hint="eastAsia"/>
          <w:color w:val="000000"/>
        </w:rPr>
        <w:t>为了保证</w:t>
      </w:r>
      <w:r>
        <w:rPr>
          <w:rFonts w:hint="eastAsia"/>
          <w:color w:val="000000"/>
          <w:lang w:val="en-US" w:eastAsia="zh-CN"/>
        </w:rPr>
        <w:t>中国机械科学研究总院集团有限公司</w:t>
      </w:r>
      <w:r>
        <w:rPr>
          <w:rFonts w:hint="eastAsia"/>
          <w:color w:val="000000"/>
        </w:rPr>
        <w:t>（以下简称“中国</w:t>
      </w:r>
      <w:r>
        <w:rPr>
          <w:rFonts w:hint="eastAsia"/>
          <w:color w:val="000000"/>
          <w:lang w:val="en-US" w:eastAsia="zh-CN"/>
        </w:rPr>
        <w:t>机械总院</w:t>
      </w:r>
      <w:r>
        <w:rPr>
          <w:rFonts w:hint="eastAsia"/>
          <w:color w:val="000000"/>
        </w:rPr>
        <w:t>”）“</w:t>
      </w:r>
      <w:r>
        <w:rPr>
          <w:rFonts w:hint="eastAsia" w:ascii="宋体" w:hAnsi="宋体" w:cs="宋体"/>
          <w:color w:val="000000"/>
          <w:kern w:val="0"/>
          <w:szCs w:val="21"/>
          <w:u w:val="single"/>
        </w:rPr>
        <w:t>中国</w:t>
      </w:r>
      <w:r>
        <w:rPr>
          <w:rFonts w:hint="eastAsia" w:ascii="宋体" w:hAnsi="宋体" w:cs="宋体"/>
          <w:color w:val="000000"/>
          <w:kern w:val="0"/>
          <w:szCs w:val="21"/>
          <w:u w:val="single"/>
          <w:lang w:val="en-US" w:eastAsia="zh-CN"/>
        </w:rPr>
        <w:t>机械总院</w:t>
      </w:r>
      <w:r>
        <w:rPr>
          <w:rFonts w:hint="eastAsia" w:ascii="宋体" w:hAnsi="宋体" w:cs="宋体"/>
          <w:color w:val="000000"/>
          <w:kern w:val="0"/>
          <w:szCs w:val="21"/>
          <w:u w:val="single"/>
        </w:rPr>
        <w:t>餐饮服务商公开招标项目</w:t>
      </w:r>
      <w:r>
        <w:rPr>
          <w:rFonts w:hint="eastAsia"/>
          <w:color w:val="000000"/>
        </w:rPr>
        <w:t>”采购工作（以下简称“采购工作”）能够顺利进行，保证参与中国</w:t>
      </w:r>
      <w:r>
        <w:rPr>
          <w:rFonts w:hint="eastAsia"/>
          <w:color w:val="000000"/>
          <w:lang w:val="en-US" w:eastAsia="zh-CN"/>
        </w:rPr>
        <w:t>机械总院</w:t>
      </w:r>
      <w:r>
        <w:rPr>
          <w:rFonts w:hint="eastAsia"/>
          <w:color w:val="000000"/>
        </w:rPr>
        <w:t>采购工作的供应商（“投标人”）能够清晰明确地了解中国</w:t>
      </w:r>
      <w:r>
        <w:rPr>
          <w:rFonts w:hint="eastAsia"/>
          <w:color w:val="000000"/>
          <w:lang w:val="en-US" w:eastAsia="zh-CN"/>
        </w:rPr>
        <w:t>机械总院</w:t>
      </w:r>
      <w:r>
        <w:rPr>
          <w:rFonts w:hint="eastAsia"/>
          <w:color w:val="000000"/>
        </w:rPr>
        <w:t>采购工作的目标、范围、工作流程及相关需求，特制定本招标文件。</w:t>
      </w:r>
    </w:p>
    <w:p w14:paraId="5F3F89EC">
      <w:pPr>
        <w:spacing w:line="360" w:lineRule="auto"/>
        <w:ind w:firstLine="420"/>
        <w:rPr>
          <w:color w:val="000000"/>
        </w:rPr>
      </w:pPr>
    </w:p>
    <w:p w14:paraId="770E24E1">
      <w:pPr>
        <w:pStyle w:val="2"/>
        <w:rPr>
          <w:b w:val="0"/>
          <w:bCs w:val="0"/>
          <w:color w:val="000000"/>
        </w:rPr>
      </w:pPr>
      <w:bookmarkStart w:id="1" w:name="_Toc12564"/>
      <w:r>
        <w:rPr>
          <w:rFonts w:hint="eastAsia"/>
          <w:b w:val="0"/>
          <w:bCs w:val="0"/>
          <w:color w:val="000000"/>
        </w:rPr>
        <w:t>第一部分</w:t>
      </w:r>
      <w:r>
        <w:rPr>
          <w:b w:val="0"/>
          <w:bCs w:val="0"/>
          <w:color w:val="000000"/>
        </w:rPr>
        <w:t xml:space="preserve"> </w:t>
      </w:r>
      <w:r>
        <w:rPr>
          <w:rFonts w:hint="eastAsia"/>
          <w:b w:val="0"/>
          <w:bCs w:val="0"/>
          <w:color w:val="000000"/>
        </w:rPr>
        <w:t>招标公告</w:t>
      </w:r>
      <w:bookmarkEnd w:id="1"/>
    </w:p>
    <w:p w14:paraId="654949EB">
      <w:pPr>
        <w:spacing w:line="360" w:lineRule="auto"/>
        <w:ind w:firstLine="420"/>
        <w:rPr>
          <w:color w:val="000000"/>
        </w:rPr>
      </w:pPr>
      <w:r>
        <w:rPr>
          <w:rFonts w:hint="eastAsia"/>
          <w:color w:val="000000"/>
          <w:lang w:val="en-US" w:eastAsia="zh-CN"/>
        </w:rPr>
        <w:t>中国机械科学研究总院集团有限公司</w:t>
      </w:r>
      <w:r>
        <w:rPr>
          <w:rFonts w:hint="eastAsia"/>
          <w:color w:val="000000"/>
        </w:rPr>
        <w:t>（以下简称“中国</w:t>
      </w:r>
      <w:r>
        <w:rPr>
          <w:rFonts w:hint="eastAsia"/>
          <w:color w:val="000000"/>
          <w:lang w:val="en-US" w:eastAsia="zh-CN"/>
        </w:rPr>
        <w:t>机械总院</w:t>
      </w:r>
      <w:r>
        <w:rPr>
          <w:rFonts w:hint="eastAsia"/>
          <w:color w:val="000000"/>
        </w:rPr>
        <w:t>”）就“</w:t>
      </w:r>
      <w:r>
        <w:rPr>
          <w:rFonts w:hint="eastAsia" w:ascii="宋体" w:hAnsi="宋体" w:cs="宋体"/>
          <w:color w:val="000000"/>
          <w:kern w:val="0"/>
          <w:szCs w:val="21"/>
          <w:u w:val="single"/>
        </w:rPr>
        <w:t>中国</w:t>
      </w:r>
      <w:r>
        <w:rPr>
          <w:rFonts w:hint="eastAsia" w:ascii="宋体" w:hAnsi="宋体" w:cs="宋体"/>
          <w:color w:val="000000"/>
          <w:kern w:val="0"/>
          <w:szCs w:val="21"/>
          <w:u w:val="single"/>
          <w:lang w:val="en-US" w:eastAsia="zh-CN"/>
        </w:rPr>
        <w:t>机械总院</w:t>
      </w:r>
      <w:r>
        <w:rPr>
          <w:rFonts w:hint="eastAsia" w:ascii="宋体" w:hAnsi="宋体" w:cs="宋体"/>
          <w:color w:val="000000"/>
          <w:kern w:val="0"/>
          <w:szCs w:val="21"/>
          <w:u w:val="single"/>
        </w:rPr>
        <w:t>餐饮服务商公开招标项目</w:t>
      </w:r>
      <w:r>
        <w:rPr>
          <w:rFonts w:hint="eastAsia"/>
          <w:color w:val="000000"/>
        </w:rPr>
        <w:t>”进行国内公开招标，现邀请合格投标人提交密封的投标文件。</w:t>
      </w:r>
    </w:p>
    <w:p w14:paraId="18FBFED4">
      <w:pPr>
        <w:spacing w:line="360" w:lineRule="auto"/>
        <w:ind w:firstLine="420"/>
        <w:rPr>
          <w:rFonts w:hint="eastAsia" w:ascii="宋体" w:hAnsi="宋体"/>
          <w:color w:val="000000"/>
        </w:rPr>
      </w:pPr>
      <w:r>
        <w:rPr>
          <w:rFonts w:hint="eastAsia"/>
          <w:color w:val="000000"/>
        </w:rPr>
        <w:t>公告日期：</w:t>
      </w:r>
      <w:r>
        <w:rPr>
          <w:rFonts w:ascii="宋体" w:hAnsi="宋体"/>
          <w:color w:val="000000"/>
        </w:rPr>
        <w:t>202</w:t>
      </w:r>
      <w:r>
        <w:rPr>
          <w:rFonts w:hint="eastAsia" w:ascii="宋体" w:hAnsi="宋体"/>
          <w:color w:val="000000"/>
          <w:lang w:val="en-US" w:eastAsia="zh-CN"/>
        </w:rPr>
        <w:t>5</w:t>
      </w:r>
      <w:r>
        <w:rPr>
          <w:rFonts w:hint="eastAsia" w:ascii="宋体" w:hAnsi="宋体"/>
          <w:color w:val="000000"/>
        </w:rPr>
        <w:t>年0</w:t>
      </w:r>
      <w:r>
        <w:rPr>
          <w:rFonts w:hint="eastAsia" w:ascii="宋体" w:hAnsi="宋体"/>
          <w:color w:val="000000"/>
          <w:lang w:val="en-US" w:eastAsia="zh-CN"/>
        </w:rPr>
        <w:t>1</w:t>
      </w:r>
      <w:r>
        <w:rPr>
          <w:rFonts w:hint="eastAsia" w:ascii="宋体" w:hAnsi="宋体"/>
          <w:color w:val="000000"/>
        </w:rPr>
        <w:t>月</w:t>
      </w:r>
      <w:r>
        <w:rPr>
          <w:rFonts w:hint="eastAsia" w:ascii="宋体" w:hAnsi="宋体"/>
          <w:color w:val="000000"/>
          <w:lang w:val="en-US" w:eastAsia="zh-CN"/>
        </w:rPr>
        <w:t>15</w:t>
      </w:r>
      <w:r>
        <w:rPr>
          <w:rFonts w:hint="eastAsia" w:ascii="宋体" w:hAnsi="宋体"/>
          <w:color w:val="000000"/>
        </w:rPr>
        <w:t>日</w:t>
      </w:r>
    </w:p>
    <w:p w14:paraId="24A9F5D3">
      <w:pPr>
        <w:widowControl/>
        <w:numPr>
          <w:ilvl w:val="0"/>
          <w:numId w:val="3"/>
        </w:numPr>
        <w:shd w:val="clear" w:color="auto" w:fill="FFFFFF"/>
        <w:spacing w:line="360" w:lineRule="auto"/>
        <w:rPr>
          <w:rFonts w:hint="eastAsia" w:ascii="宋体" w:hAnsi="宋体" w:cs="宋体"/>
          <w:color w:val="000000"/>
          <w:kern w:val="0"/>
          <w:szCs w:val="21"/>
          <w:u w:val="single"/>
        </w:rPr>
      </w:pPr>
      <w:r>
        <w:rPr>
          <w:rFonts w:hint="eastAsia" w:ascii="宋体" w:hAnsi="宋体" w:cs="宋体"/>
          <w:b/>
          <w:color w:val="000000"/>
          <w:szCs w:val="21"/>
        </w:rPr>
        <w:t>项目名称：</w:t>
      </w:r>
      <w:r>
        <w:rPr>
          <w:rFonts w:hint="eastAsia" w:ascii="宋体" w:hAnsi="宋体" w:cs="宋体"/>
          <w:color w:val="000000"/>
          <w:kern w:val="0"/>
          <w:szCs w:val="21"/>
          <w:u w:val="single"/>
        </w:rPr>
        <w:t>中国</w:t>
      </w:r>
      <w:r>
        <w:rPr>
          <w:rFonts w:hint="eastAsia" w:ascii="宋体" w:hAnsi="宋体" w:cs="宋体"/>
          <w:color w:val="000000"/>
          <w:kern w:val="0"/>
          <w:szCs w:val="21"/>
          <w:u w:val="single"/>
          <w:lang w:val="en-US" w:eastAsia="zh-CN"/>
        </w:rPr>
        <w:t>机械总院</w:t>
      </w:r>
      <w:r>
        <w:rPr>
          <w:rFonts w:hint="eastAsia" w:ascii="宋体" w:hAnsi="宋体" w:cs="宋体"/>
          <w:color w:val="000000"/>
          <w:kern w:val="0"/>
          <w:szCs w:val="21"/>
          <w:u w:val="single"/>
        </w:rPr>
        <w:t>餐饮服务商公开招标项目</w:t>
      </w:r>
    </w:p>
    <w:p w14:paraId="45B790C1">
      <w:pPr>
        <w:widowControl/>
        <w:numPr>
          <w:ilvl w:val="0"/>
          <w:numId w:val="3"/>
        </w:numPr>
        <w:shd w:val="clear" w:color="auto" w:fill="FFFFFF"/>
        <w:spacing w:line="360" w:lineRule="auto"/>
        <w:ind w:left="426" w:hanging="426"/>
        <w:rPr>
          <w:rFonts w:hint="eastAsia" w:ascii="宋体" w:hAnsi="宋体" w:cs="宋体"/>
          <w:b/>
          <w:color w:val="000000"/>
          <w:kern w:val="0"/>
          <w:szCs w:val="21"/>
          <w:u w:val="single"/>
        </w:rPr>
      </w:pPr>
      <w:r>
        <w:rPr>
          <w:rFonts w:hint="eastAsia" w:ascii="宋体" w:hAnsi="宋体" w:cs="宋体"/>
          <w:b/>
          <w:color w:val="000000"/>
          <w:szCs w:val="21"/>
        </w:rPr>
        <w:t>项目编号：</w:t>
      </w:r>
      <w:r>
        <w:rPr>
          <w:rFonts w:hint="eastAsia" w:ascii="宋体" w:hAnsi="宋体" w:cs="宋体"/>
          <w:bCs/>
          <w:color w:val="000000"/>
          <w:kern w:val="0"/>
          <w:szCs w:val="21"/>
          <w:u w:val="single"/>
          <w:lang w:val="en-US" w:eastAsia="zh-CN"/>
        </w:rPr>
        <w:t>2025CAMZB-001</w:t>
      </w:r>
    </w:p>
    <w:p w14:paraId="729D2491">
      <w:pPr>
        <w:autoSpaceDE w:val="0"/>
        <w:autoSpaceDN w:val="0"/>
        <w:spacing w:line="360" w:lineRule="auto"/>
        <w:rPr>
          <w:rFonts w:hint="eastAsia" w:ascii="宋体" w:hAnsi="宋体" w:cs="宋体"/>
          <w:color w:val="000000"/>
          <w:szCs w:val="21"/>
          <w:u w:val="single"/>
        </w:rPr>
      </w:pPr>
      <w:r>
        <w:rPr>
          <w:rFonts w:hint="eastAsia" w:ascii="宋体" w:hAnsi="宋体" w:cs="宋体"/>
          <w:b/>
          <w:color w:val="000000"/>
          <w:szCs w:val="21"/>
        </w:rPr>
        <w:t>三、招标内容：</w:t>
      </w:r>
    </w:p>
    <w:p w14:paraId="4A9DC342">
      <w:pPr>
        <w:spacing w:line="360" w:lineRule="auto"/>
        <w:ind w:firstLine="420"/>
        <w:rPr>
          <w:rFonts w:hint="eastAsia" w:ascii="宋体" w:hAnsi="宋体" w:cs="宋体"/>
          <w:color w:val="000000"/>
          <w:szCs w:val="21"/>
        </w:rPr>
      </w:pPr>
      <w:r>
        <w:rPr>
          <w:rFonts w:hint="eastAsia" w:ascii="宋体" w:hAnsi="宋体" w:cs="宋体"/>
          <w:color w:val="000000"/>
          <w:szCs w:val="21"/>
        </w:rPr>
        <w:t>本项目相关采购需求详见</w:t>
      </w:r>
      <w:r>
        <w:rPr>
          <w:rStyle w:val="32"/>
          <w:rFonts w:hint="eastAsia"/>
          <w:color w:val="000000"/>
        </w:rPr>
        <w:t>下表</w:t>
      </w:r>
      <w:r>
        <w:rPr>
          <w:rFonts w:hint="eastAsia" w:ascii="宋体" w:hAnsi="宋体" w:cs="宋体"/>
          <w:color w:val="000000"/>
          <w:szCs w:val="21"/>
        </w:rPr>
        <w:t>：</w:t>
      </w:r>
    </w:p>
    <w:tbl>
      <w:tblPr>
        <w:tblStyle w:val="26"/>
        <w:tblW w:w="8812" w:type="dxa"/>
        <w:jc w:val="center"/>
        <w:tblLayout w:type="fixed"/>
        <w:tblCellMar>
          <w:top w:w="0" w:type="dxa"/>
          <w:left w:w="108" w:type="dxa"/>
          <w:bottom w:w="0" w:type="dxa"/>
          <w:right w:w="108" w:type="dxa"/>
        </w:tblCellMar>
      </w:tblPr>
      <w:tblGrid>
        <w:gridCol w:w="1527"/>
        <w:gridCol w:w="5698"/>
        <w:gridCol w:w="1587"/>
      </w:tblGrid>
      <w:tr w14:paraId="0FD7334C">
        <w:tblPrEx>
          <w:tblCellMar>
            <w:top w:w="0" w:type="dxa"/>
            <w:left w:w="108" w:type="dxa"/>
            <w:bottom w:w="0" w:type="dxa"/>
            <w:right w:w="108" w:type="dxa"/>
          </w:tblCellMar>
        </w:tblPrEx>
        <w:trPr>
          <w:trHeight w:val="170" w:hRule="atLeast"/>
          <w:tblHeader/>
          <w:jc w:val="center"/>
        </w:trPr>
        <w:tc>
          <w:tcPr>
            <w:tcW w:w="1527" w:type="dxa"/>
            <w:tcBorders>
              <w:top w:val="single" w:color="auto" w:sz="4" w:space="0"/>
              <w:left w:val="single" w:color="auto" w:sz="4" w:space="0"/>
              <w:bottom w:val="single" w:color="auto" w:sz="4" w:space="0"/>
              <w:right w:val="single" w:color="auto" w:sz="4" w:space="0"/>
            </w:tcBorders>
            <w:shd w:val="clear" w:color="auto" w:fill="A6A6A6"/>
            <w:noWrap/>
            <w:vAlign w:val="center"/>
          </w:tcPr>
          <w:p w14:paraId="0F0F26C2">
            <w:pPr>
              <w:widowControl/>
              <w:jc w:val="center"/>
              <w:rPr>
                <w:rFonts w:hint="eastAsia" w:ascii="宋体" w:hAnsi="宋体" w:cs="宋体"/>
                <w:bCs/>
                <w:color w:val="000000"/>
                <w:szCs w:val="21"/>
              </w:rPr>
            </w:pPr>
            <w:r>
              <w:rPr>
                <w:rFonts w:hint="eastAsia" w:ascii="宋体" w:hAnsi="宋体" w:cs="宋体"/>
                <w:bCs/>
                <w:color w:val="000000"/>
                <w:szCs w:val="21"/>
              </w:rPr>
              <w:t>名称</w:t>
            </w:r>
          </w:p>
        </w:tc>
        <w:tc>
          <w:tcPr>
            <w:tcW w:w="5698" w:type="dxa"/>
            <w:tcBorders>
              <w:top w:val="single" w:color="auto" w:sz="4" w:space="0"/>
              <w:left w:val="nil"/>
              <w:bottom w:val="single" w:color="auto" w:sz="4" w:space="0"/>
              <w:right w:val="single" w:color="auto" w:sz="4" w:space="0"/>
            </w:tcBorders>
            <w:shd w:val="clear" w:color="auto" w:fill="A6A6A6"/>
            <w:noWrap/>
            <w:vAlign w:val="center"/>
          </w:tcPr>
          <w:p w14:paraId="2448CB0A">
            <w:pPr>
              <w:widowControl/>
              <w:jc w:val="center"/>
              <w:rPr>
                <w:rFonts w:hint="eastAsia" w:ascii="宋体" w:hAnsi="宋体" w:cs="宋体"/>
                <w:bCs/>
                <w:color w:val="000000"/>
                <w:szCs w:val="21"/>
              </w:rPr>
            </w:pPr>
            <w:r>
              <w:rPr>
                <w:rFonts w:hint="eastAsia" w:ascii="宋体" w:hAnsi="宋体" w:cs="宋体"/>
                <w:bCs/>
                <w:color w:val="000000"/>
                <w:szCs w:val="21"/>
              </w:rPr>
              <w:t>采购需求</w:t>
            </w:r>
          </w:p>
        </w:tc>
        <w:tc>
          <w:tcPr>
            <w:tcW w:w="1587" w:type="dxa"/>
            <w:tcBorders>
              <w:top w:val="single" w:color="auto" w:sz="4" w:space="0"/>
              <w:left w:val="nil"/>
              <w:bottom w:val="single" w:color="auto" w:sz="4" w:space="0"/>
              <w:right w:val="single" w:color="auto" w:sz="4" w:space="0"/>
            </w:tcBorders>
            <w:shd w:val="clear" w:color="auto" w:fill="A6A6A6"/>
          </w:tcPr>
          <w:p w14:paraId="5DAE4990">
            <w:pPr>
              <w:widowControl/>
              <w:jc w:val="center"/>
              <w:rPr>
                <w:rFonts w:hint="eastAsia" w:ascii="宋体" w:hAnsi="宋体" w:eastAsia="宋体" w:cs="宋体"/>
                <w:bCs/>
                <w:color w:val="000000"/>
                <w:szCs w:val="21"/>
                <w:lang w:eastAsia="zh-CN"/>
              </w:rPr>
            </w:pPr>
            <w:r>
              <w:rPr>
                <w:rFonts w:hint="eastAsia" w:ascii="宋体" w:hAnsi="宋体" w:cs="宋体"/>
                <w:bCs/>
                <w:color w:val="000000"/>
                <w:sz w:val="20"/>
                <w:szCs w:val="20"/>
                <w:lang w:val="en-US" w:eastAsia="zh-CN"/>
              </w:rPr>
              <w:t>服务地点</w:t>
            </w:r>
          </w:p>
        </w:tc>
      </w:tr>
      <w:tr w14:paraId="42E57799">
        <w:tblPrEx>
          <w:tblCellMar>
            <w:top w:w="0" w:type="dxa"/>
            <w:left w:w="108" w:type="dxa"/>
            <w:bottom w:w="0" w:type="dxa"/>
            <w:right w:w="108" w:type="dxa"/>
          </w:tblCellMar>
        </w:tblPrEx>
        <w:trPr>
          <w:trHeight w:val="170" w:hRule="atLeast"/>
          <w:jc w:val="center"/>
        </w:trPr>
        <w:tc>
          <w:tcPr>
            <w:tcW w:w="1527" w:type="dxa"/>
            <w:tcBorders>
              <w:top w:val="single" w:color="auto" w:sz="4" w:space="0"/>
              <w:left w:val="single" w:color="auto" w:sz="4" w:space="0"/>
              <w:bottom w:val="single" w:color="auto" w:sz="4" w:space="0"/>
              <w:right w:val="single" w:color="auto" w:sz="4" w:space="0"/>
            </w:tcBorders>
            <w:noWrap/>
            <w:vAlign w:val="center"/>
          </w:tcPr>
          <w:p w14:paraId="496652A2">
            <w:pPr>
              <w:widowControl/>
              <w:rPr>
                <w:rFonts w:hint="eastAsia" w:ascii="宋体" w:hAnsi="宋体" w:cs="宋体"/>
                <w:strike/>
                <w:color w:val="000000"/>
                <w:szCs w:val="21"/>
              </w:rPr>
            </w:pPr>
            <w:r>
              <w:rPr>
                <w:rFonts w:hint="eastAsia" w:ascii="宋体" w:hAnsi="宋体" w:cs="宋体"/>
                <w:color w:val="000000"/>
                <w:kern w:val="0"/>
                <w:szCs w:val="21"/>
                <w:u w:val="single"/>
              </w:rPr>
              <w:t>中国</w:t>
            </w:r>
            <w:r>
              <w:rPr>
                <w:rFonts w:hint="eastAsia" w:ascii="宋体" w:hAnsi="宋体" w:cs="宋体"/>
                <w:color w:val="000000"/>
                <w:kern w:val="0"/>
                <w:szCs w:val="21"/>
                <w:u w:val="single"/>
                <w:lang w:val="en-US" w:eastAsia="zh-CN"/>
              </w:rPr>
              <w:t>机械总院</w:t>
            </w:r>
            <w:r>
              <w:rPr>
                <w:rFonts w:hint="eastAsia" w:ascii="宋体" w:hAnsi="宋体" w:cs="宋体"/>
                <w:color w:val="000000"/>
                <w:kern w:val="0"/>
                <w:szCs w:val="21"/>
                <w:u w:val="single"/>
              </w:rPr>
              <w:t>餐饮服务商公开招标项目</w:t>
            </w:r>
          </w:p>
        </w:tc>
        <w:tc>
          <w:tcPr>
            <w:tcW w:w="5698" w:type="dxa"/>
            <w:tcBorders>
              <w:top w:val="single" w:color="auto" w:sz="4" w:space="0"/>
              <w:left w:val="nil"/>
              <w:bottom w:val="single" w:color="auto" w:sz="4" w:space="0"/>
              <w:right w:val="single" w:color="auto" w:sz="4" w:space="0"/>
            </w:tcBorders>
            <w:noWrap/>
            <w:vAlign w:val="center"/>
          </w:tcPr>
          <w:p w14:paraId="0E2D33E5">
            <w:pPr>
              <w:widowControl/>
              <w:rPr>
                <w:rFonts w:hint="eastAsia" w:ascii="宋体" w:hAnsi="宋体" w:cs="宋体"/>
                <w:color w:val="000000"/>
                <w:szCs w:val="21"/>
              </w:rPr>
            </w:pPr>
            <w:r>
              <w:rPr>
                <w:rFonts w:hint="eastAsia" w:ascii="宋体" w:hAnsi="宋体" w:cs="宋体"/>
                <w:color w:val="000000"/>
                <w:szCs w:val="21"/>
              </w:rPr>
              <w:t>餐饮服务，包括但不限于为招标人工作人员提供全年365天餐饮服务，早07:</w:t>
            </w:r>
            <w:r>
              <w:rPr>
                <w:rFonts w:hint="eastAsia" w:ascii="宋体" w:hAnsi="宋体" w:cs="宋体"/>
                <w:color w:val="000000"/>
                <w:szCs w:val="21"/>
                <w:lang w:val="en-US" w:eastAsia="zh-CN"/>
              </w:rPr>
              <w:t>0</w:t>
            </w:r>
            <w:r>
              <w:rPr>
                <w:rFonts w:hint="eastAsia" w:ascii="宋体" w:hAnsi="宋体" w:cs="宋体"/>
                <w:color w:val="000000"/>
                <w:szCs w:val="21"/>
              </w:rPr>
              <w:t>0至晚</w:t>
            </w:r>
            <w:r>
              <w:rPr>
                <w:rFonts w:hint="eastAsia" w:ascii="宋体" w:hAnsi="宋体" w:cs="宋体"/>
                <w:color w:val="000000"/>
                <w:szCs w:val="21"/>
                <w:lang w:val="en-US" w:eastAsia="zh-CN"/>
              </w:rPr>
              <w:t>18</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0的早、午、晚餐（包括工作日及节假日因</w:t>
            </w:r>
            <w:r>
              <w:rPr>
                <w:rFonts w:hint="eastAsia" w:ascii="宋体" w:hAnsi="宋体" w:cs="宋体"/>
                <w:bCs/>
                <w:szCs w:val="21"/>
                <w:lang w:bidi="ar"/>
              </w:rPr>
              <w:t>工</w:t>
            </w:r>
            <w:r>
              <w:rPr>
                <w:rFonts w:hint="eastAsia" w:ascii="宋体" w:hAnsi="宋体" w:cs="宋体"/>
                <w:color w:val="000000"/>
                <w:szCs w:val="21"/>
              </w:rPr>
              <w:t>用餐）等工作餐供应，同时承担招待餐、会议用餐、风味小吃、熟食外卖、</w:t>
            </w:r>
            <w:r>
              <w:rPr>
                <w:rFonts w:hint="eastAsia" w:ascii="宋体" w:hAnsi="宋体" w:cs="宋体"/>
                <w:szCs w:val="21"/>
              </w:rPr>
              <w:t>延伸服务</w:t>
            </w:r>
            <w:r>
              <w:rPr>
                <w:rFonts w:hint="eastAsia" w:ascii="宋体" w:hAnsi="宋体" w:cs="宋体"/>
                <w:color w:val="000000"/>
                <w:szCs w:val="21"/>
              </w:rPr>
              <w:t>和其他临时安排的就餐任务，具体要求</w:t>
            </w:r>
            <w:r>
              <w:rPr>
                <w:rFonts w:hint="eastAsia" w:ascii="宋体" w:hAnsi="宋体" w:cs="宋体"/>
                <w:color w:val="000000"/>
                <w:szCs w:val="21"/>
                <w:lang w:bidi="ar"/>
              </w:rPr>
              <w:t>见第四部分《技术要求和服务要求》</w:t>
            </w:r>
            <w:r>
              <w:rPr>
                <w:rFonts w:hint="eastAsia" w:ascii="宋体" w:hAnsi="宋体" w:cs="宋体"/>
                <w:color w:val="000000"/>
                <w:szCs w:val="21"/>
              </w:rPr>
              <w:t>。</w:t>
            </w:r>
          </w:p>
        </w:tc>
        <w:tc>
          <w:tcPr>
            <w:tcW w:w="1587" w:type="dxa"/>
            <w:tcBorders>
              <w:top w:val="single" w:color="auto" w:sz="4" w:space="0"/>
              <w:left w:val="nil"/>
              <w:bottom w:val="single" w:color="auto" w:sz="4" w:space="0"/>
              <w:right w:val="single" w:color="auto" w:sz="4" w:space="0"/>
            </w:tcBorders>
            <w:vAlign w:val="center"/>
          </w:tcPr>
          <w:p w14:paraId="277FA1F2">
            <w:pPr>
              <w:widowControl/>
              <w:jc w:val="center"/>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北京市海淀区首体南路2号；</w:t>
            </w:r>
          </w:p>
          <w:p w14:paraId="6BBCB0DE">
            <w:pPr>
              <w:widowControl/>
              <w:jc w:val="center"/>
              <w:rPr>
                <w:rFonts w:hint="default" w:ascii="宋体" w:hAnsi="宋体" w:cs="宋体"/>
                <w:szCs w:val="21"/>
                <w:highlight w:val="yellow"/>
                <w:lang w:val="en-US" w:eastAsia="zh-CN" w:bidi="ar"/>
              </w:rPr>
            </w:pPr>
            <w:r>
              <w:rPr>
                <w:rFonts w:hint="eastAsia" w:ascii="宋体" w:hAnsi="宋体" w:cs="宋体"/>
                <w:szCs w:val="21"/>
                <w:highlight w:val="none"/>
                <w:lang w:val="en-US" w:eastAsia="zh-CN" w:bidi="ar"/>
              </w:rPr>
              <w:t>北京市怀柔区乐园南二街东段1号院。</w:t>
            </w:r>
          </w:p>
        </w:tc>
      </w:tr>
    </w:tbl>
    <w:p w14:paraId="6A7796F1">
      <w:pPr>
        <w:widowControl/>
        <w:shd w:val="clear" w:color="auto" w:fill="FFFFFF"/>
        <w:tabs>
          <w:tab w:val="left" w:pos="0"/>
        </w:tabs>
        <w:spacing w:line="360" w:lineRule="auto"/>
        <w:rPr>
          <w:rFonts w:hint="eastAsia" w:ascii="宋体" w:hAnsi="宋体" w:cs="宋体"/>
          <w:b/>
          <w:color w:val="000000"/>
          <w:szCs w:val="21"/>
        </w:rPr>
      </w:pPr>
      <w:r>
        <w:rPr>
          <w:rFonts w:hint="eastAsia" w:ascii="宋体" w:hAnsi="宋体" w:cs="宋体"/>
          <w:b/>
          <w:color w:val="000000"/>
          <w:szCs w:val="21"/>
        </w:rPr>
        <w:t>四、本项目不接受单位负责人为同一人或者存在直接控股、管理关系的不同供应商同时参与同一合同项下的投标。合格投标人必须符合以下条件，否则招标人有权拒绝投标人的投标：</w:t>
      </w:r>
    </w:p>
    <w:p w14:paraId="5CDD65A8">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w:t>
      </w:r>
      <w:r>
        <w:rPr>
          <w:rFonts w:hint="eastAsia" w:ascii="宋体" w:hAnsi="宋体" w:cs="宋体"/>
          <w:color w:val="000000"/>
          <w:szCs w:val="21"/>
        </w:rPr>
        <w:t>具有独立承担民事责任的能力；</w:t>
      </w:r>
    </w:p>
    <w:p w14:paraId="59A47E08">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w:t>
      </w:r>
      <w:r>
        <w:rPr>
          <w:rFonts w:hint="eastAsia" w:ascii="宋体" w:hAnsi="宋体" w:cs="宋体"/>
          <w:color w:val="000000"/>
          <w:szCs w:val="21"/>
        </w:rPr>
        <w:t>具有良好的商业信誉和健全的财务会计制度；</w:t>
      </w:r>
    </w:p>
    <w:p w14:paraId="06EEBA1D">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w:t>
      </w:r>
      <w:r>
        <w:rPr>
          <w:rFonts w:hint="eastAsia" w:ascii="宋体" w:hAnsi="宋体" w:cs="宋体"/>
          <w:color w:val="000000"/>
          <w:szCs w:val="21"/>
        </w:rPr>
        <w:t>具有履行合同所必需的设备和专业技术能力；</w:t>
      </w:r>
    </w:p>
    <w:p w14:paraId="6D221986">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w:t>
      </w:r>
      <w:r>
        <w:rPr>
          <w:rFonts w:hint="eastAsia" w:ascii="宋体" w:hAnsi="宋体" w:cs="宋体"/>
          <w:color w:val="000000"/>
          <w:szCs w:val="21"/>
        </w:rPr>
        <w:t>具有依法缴纳税收和社会保障资金的良好记录；</w:t>
      </w:r>
    </w:p>
    <w:p w14:paraId="45359D30">
      <w:pPr>
        <w:widowControl/>
        <w:shd w:val="clear" w:color="auto" w:fill="FFFFFF"/>
        <w:spacing w:line="360" w:lineRule="auto"/>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5.具备有效期内的</w:t>
      </w:r>
      <w:r>
        <w:rPr>
          <w:rFonts w:hint="eastAsia" w:ascii="宋体" w:hAnsi="宋体" w:cs="宋体"/>
          <w:color w:val="000000"/>
          <w:szCs w:val="21"/>
        </w:rPr>
        <w:t>《餐饮服务许可证》或《食品经营许可证》</w:t>
      </w:r>
      <w:r>
        <w:rPr>
          <w:rFonts w:hint="eastAsia" w:ascii="宋体" w:hAnsi="宋体" w:cs="宋体"/>
          <w:color w:val="000000"/>
          <w:szCs w:val="21"/>
          <w:lang w:eastAsia="zh-CN"/>
        </w:rPr>
        <w:t>；</w:t>
      </w:r>
    </w:p>
    <w:p w14:paraId="38CFA94A">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投标人未被“信用中国”网站（www.creditchina.gov.cn）列入失信被执行人、重大税收违法失信主体、政府采购严重违法失信行为记录名单；</w:t>
      </w:r>
    </w:p>
    <w:p w14:paraId="6909F6A1">
      <w:pPr>
        <w:widowControl/>
        <w:shd w:val="clear" w:color="auto" w:fill="FFFFFF"/>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法律、行政法规规定的其他条件；</w:t>
      </w:r>
    </w:p>
    <w:p w14:paraId="65BBF8B4">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本项目不接受联合体投标。</w:t>
      </w:r>
    </w:p>
    <w:p w14:paraId="1F231FD0">
      <w:pPr>
        <w:widowControl/>
        <w:shd w:val="clear" w:color="auto" w:fill="FFFFFF"/>
        <w:spacing w:line="360" w:lineRule="auto"/>
        <w:rPr>
          <w:rFonts w:hint="eastAsia" w:ascii="宋体" w:hAnsi="宋体" w:cs="宋体"/>
          <w:b/>
          <w:color w:val="000000"/>
          <w:szCs w:val="21"/>
        </w:rPr>
      </w:pPr>
      <w:r>
        <w:rPr>
          <w:rFonts w:hint="eastAsia" w:ascii="宋体" w:hAnsi="宋体" w:cs="宋体"/>
          <w:b/>
          <w:color w:val="000000"/>
          <w:szCs w:val="21"/>
        </w:rPr>
        <w:t>五、供应商报名及</w:t>
      </w:r>
      <w:r>
        <w:rPr>
          <w:rFonts w:hint="eastAsia"/>
          <w:b/>
          <w:color w:val="000000"/>
          <w:szCs w:val="21"/>
        </w:rPr>
        <w:t>领取招标文件：</w:t>
      </w:r>
    </w:p>
    <w:p w14:paraId="54DA2C03">
      <w:pPr>
        <w:tabs>
          <w:tab w:val="left" w:pos="945"/>
        </w:tabs>
        <w:spacing w:line="360" w:lineRule="auto"/>
        <w:ind w:firstLine="420" w:firstLineChars="200"/>
        <w:rPr>
          <w:rFonts w:hint="eastAsia" w:ascii="宋体" w:hAnsi="宋体"/>
          <w:color w:val="000000"/>
          <w:szCs w:val="21"/>
        </w:rPr>
      </w:pPr>
      <w:r>
        <w:rPr>
          <w:rFonts w:hint="eastAsia" w:ascii="宋体" w:hAnsi="宋体"/>
          <w:color w:val="000000"/>
          <w:szCs w:val="21"/>
        </w:rPr>
        <w:t>1本项目招标文件以电子文件形式在中国机械科学研究总院集团官网获取。</w:t>
      </w:r>
    </w:p>
    <w:p w14:paraId="2349CFD1">
      <w:pPr>
        <w:tabs>
          <w:tab w:val="left" w:pos="945"/>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2.招标文件下载</w:t>
      </w:r>
      <w:r>
        <w:rPr>
          <w:rFonts w:hint="eastAsia" w:ascii="宋体" w:hAnsi="宋体"/>
          <w:color w:val="000000"/>
          <w:szCs w:val="21"/>
        </w:rPr>
        <w:t>时间：2025年1月</w:t>
      </w:r>
      <w:r>
        <w:rPr>
          <w:rFonts w:hint="eastAsia" w:ascii="宋体" w:hAnsi="宋体"/>
          <w:color w:val="000000"/>
          <w:szCs w:val="21"/>
          <w:lang w:val="en-US" w:eastAsia="zh-CN"/>
        </w:rPr>
        <w:t>15</w:t>
      </w:r>
      <w:r>
        <w:rPr>
          <w:rFonts w:hint="eastAsia" w:ascii="宋体" w:hAnsi="宋体"/>
          <w:color w:val="000000"/>
          <w:szCs w:val="21"/>
        </w:rPr>
        <w:t>日至2025年1月2</w:t>
      </w:r>
      <w:r>
        <w:rPr>
          <w:rFonts w:hint="eastAsia" w:ascii="宋体" w:hAnsi="宋体"/>
          <w:color w:val="000000"/>
          <w:szCs w:val="21"/>
          <w:lang w:val="en-US" w:eastAsia="zh-CN"/>
        </w:rPr>
        <w:t>1</w:t>
      </w:r>
      <w:r>
        <w:rPr>
          <w:rFonts w:hint="eastAsia" w:ascii="宋体" w:hAnsi="宋体"/>
          <w:color w:val="000000"/>
          <w:szCs w:val="21"/>
        </w:rPr>
        <w:t xml:space="preserve">日 </w:t>
      </w:r>
      <w:r>
        <w:rPr>
          <w:rFonts w:hint="eastAsia" w:ascii="宋体" w:hAnsi="宋体"/>
          <w:color w:val="000000"/>
          <w:szCs w:val="21"/>
          <w:lang w:val="en-US" w:eastAsia="zh-CN"/>
        </w:rPr>
        <w:t>17:00</w:t>
      </w:r>
      <w:r>
        <w:rPr>
          <w:rFonts w:hint="eastAsia" w:ascii="宋体" w:hAnsi="宋体"/>
          <w:color w:val="000000"/>
          <w:szCs w:val="21"/>
        </w:rPr>
        <w:t>（北京时间）。</w:t>
      </w:r>
    </w:p>
    <w:p w14:paraId="63026315">
      <w:pPr>
        <w:tabs>
          <w:tab w:val="left" w:pos="7520"/>
        </w:tabs>
        <w:spacing w:line="360" w:lineRule="auto"/>
        <w:rPr>
          <w:b/>
          <w:color w:val="000000"/>
          <w:szCs w:val="21"/>
        </w:rPr>
      </w:pPr>
      <w:r>
        <w:rPr>
          <w:rFonts w:hint="eastAsia"/>
          <w:b/>
          <w:color w:val="000000"/>
          <w:szCs w:val="21"/>
        </w:rPr>
        <w:t>六、投标截止时间</w:t>
      </w:r>
      <w:r>
        <w:rPr>
          <w:rFonts w:hint="eastAsia"/>
          <w:b/>
          <w:color w:val="000000"/>
          <w:szCs w:val="21"/>
          <w:lang w:eastAsia="zh-CN"/>
        </w:rPr>
        <w:t>、</w:t>
      </w:r>
      <w:r>
        <w:rPr>
          <w:rFonts w:hint="eastAsia"/>
          <w:b/>
          <w:color w:val="000000"/>
          <w:szCs w:val="21"/>
        </w:rPr>
        <w:t>开标时间</w:t>
      </w:r>
      <w:r>
        <w:rPr>
          <w:rFonts w:hint="eastAsia"/>
          <w:b/>
          <w:color w:val="000000"/>
          <w:szCs w:val="21"/>
          <w:lang w:val="en-US" w:eastAsia="zh-CN"/>
        </w:rPr>
        <w:t>和开标地点</w:t>
      </w:r>
      <w:r>
        <w:rPr>
          <w:rFonts w:hint="eastAsia"/>
          <w:b/>
          <w:color w:val="000000"/>
          <w:szCs w:val="21"/>
        </w:rPr>
        <w:t>：</w:t>
      </w:r>
    </w:p>
    <w:p w14:paraId="30C7DC8A">
      <w:pPr>
        <w:pStyle w:val="24"/>
        <w:spacing w:before="0" w:beforeAutospacing="0" w:after="0" w:afterAutospacing="0" w:line="360" w:lineRule="auto"/>
        <w:ind w:firstLine="420" w:firstLineChars="200"/>
        <w:rPr>
          <w:rFonts w:hint="eastAsia"/>
          <w:color w:val="000000"/>
          <w:sz w:val="21"/>
          <w:szCs w:val="21"/>
        </w:rPr>
      </w:pPr>
      <w:r>
        <w:rPr>
          <w:rFonts w:hint="eastAsia"/>
          <w:color w:val="000000"/>
          <w:sz w:val="21"/>
          <w:szCs w:val="21"/>
        </w:rPr>
        <w:t>1.投标截止时间：202</w:t>
      </w:r>
      <w:r>
        <w:rPr>
          <w:rFonts w:hint="eastAsia"/>
          <w:color w:val="000000"/>
          <w:sz w:val="21"/>
          <w:szCs w:val="21"/>
          <w:lang w:val="en-US" w:eastAsia="zh-CN"/>
        </w:rPr>
        <w:t>5</w:t>
      </w:r>
      <w:r>
        <w:rPr>
          <w:rFonts w:hint="eastAsia"/>
          <w:color w:val="000000"/>
          <w:sz w:val="21"/>
          <w:szCs w:val="21"/>
        </w:rPr>
        <w:t>年</w:t>
      </w:r>
      <w:r>
        <w:rPr>
          <w:rFonts w:hint="eastAsia"/>
          <w:color w:val="000000"/>
          <w:sz w:val="21"/>
          <w:szCs w:val="21"/>
          <w:lang w:val="en-US" w:eastAsia="zh-CN"/>
        </w:rPr>
        <w:t>1</w:t>
      </w:r>
      <w:r>
        <w:rPr>
          <w:rFonts w:hint="eastAsia"/>
          <w:color w:val="000000"/>
          <w:sz w:val="21"/>
          <w:szCs w:val="21"/>
        </w:rPr>
        <w:t>月</w:t>
      </w:r>
      <w:r>
        <w:rPr>
          <w:rFonts w:hint="eastAsia"/>
          <w:color w:val="000000"/>
          <w:sz w:val="21"/>
          <w:szCs w:val="21"/>
          <w:lang w:val="en-US" w:eastAsia="zh-CN"/>
        </w:rPr>
        <w:t>21</w:t>
      </w:r>
      <w:r>
        <w:rPr>
          <w:rFonts w:hint="eastAsia"/>
          <w:color w:val="000000"/>
          <w:sz w:val="21"/>
          <w:szCs w:val="21"/>
        </w:rPr>
        <w:t>日1</w:t>
      </w:r>
      <w:r>
        <w:rPr>
          <w:rFonts w:hint="eastAsia"/>
          <w:color w:val="000000"/>
          <w:sz w:val="21"/>
          <w:szCs w:val="21"/>
          <w:lang w:val="en-US" w:eastAsia="zh-CN"/>
        </w:rPr>
        <w:t>7</w:t>
      </w:r>
      <w:r>
        <w:rPr>
          <w:rFonts w:hint="eastAsia"/>
          <w:color w:val="000000"/>
          <w:sz w:val="21"/>
          <w:szCs w:val="21"/>
        </w:rPr>
        <w:t>:00（北京时间）。</w:t>
      </w:r>
    </w:p>
    <w:p w14:paraId="29E19D47">
      <w:pPr>
        <w:pStyle w:val="24"/>
        <w:spacing w:before="0" w:beforeAutospacing="0" w:after="0" w:afterAutospacing="0" w:line="360" w:lineRule="auto"/>
        <w:ind w:firstLine="420" w:firstLineChars="200"/>
        <w:rPr>
          <w:rFonts w:hint="eastAsia"/>
          <w:color w:val="000000"/>
          <w:sz w:val="21"/>
          <w:szCs w:val="21"/>
        </w:rPr>
      </w:pPr>
      <w:r>
        <w:rPr>
          <w:rFonts w:hint="eastAsia"/>
          <w:color w:val="000000"/>
          <w:sz w:val="21"/>
          <w:szCs w:val="21"/>
          <w:lang w:val="en-US" w:eastAsia="zh-CN"/>
        </w:rPr>
        <w:t>2</w:t>
      </w:r>
      <w:r>
        <w:rPr>
          <w:rFonts w:hint="eastAsia"/>
          <w:color w:val="000000"/>
          <w:sz w:val="21"/>
          <w:szCs w:val="21"/>
        </w:rPr>
        <w:t>.开标时间：202</w:t>
      </w:r>
      <w:r>
        <w:rPr>
          <w:rFonts w:hint="eastAsia"/>
          <w:color w:val="000000"/>
          <w:sz w:val="21"/>
          <w:szCs w:val="21"/>
          <w:lang w:val="en-US" w:eastAsia="zh-CN"/>
        </w:rPr>
        <w:t>5</w:t>
      </w:r>
      <w:r>
        <w:rPr>
          <w:rFonts w:hint="eastAsia"/>
          <w:color w:val="000000"/>
          <w:sz w:val="21"/>
          <w:szCs w:val="21"/>
        </w:rPr>
        <w:t>年</w:t>
      </w:r>
      <w:r>
        <w:rPr>
          <w:rFonts w:hint="eastAsia"/>
          <w:color w:val="000000"/>
          <w:sz w:val="21"/>
          <w:szCs w:val="21"/>
          <w:lang w:val="en-US" w:eastAsia="zh-CN"/>
        </w:rPr>
        <w:t>1</w:t>
      </w:r>
      <w:r>
        <w:rPr>
          <w:rFonts w:hint="eastAsia"/>
          <w:color w:val="000000"/>
          <w:sz w:val="21"/>
          <w:szCs w:val="21"/>
        </w:rPr>
        <w:t>月</w:t>
      </w:r>
      <w:r>
        <w:rPr>
          <w:rFonts w:hint="eastAsia"/>
          <w:color w:val="000000"/>
          <w:sz w:val="21"/>
          <w:szCs w:val="21"/>
          <w:lang w:val="en-US" w:eastAsia="zh-CN"/>
        </w:rPr>
        <w:t>24</w:t>
      </w:r>
      <w:r>
        <w:rPr>
          <w:rFonts w:hint="eastAsia"/>
          <w:color w:val="000000"/>
          <w:sz w:val="21"/>
          <w:szCs w:val="21"/>
        </w:rPr>
        <w:t>日</w:t>
      </w:r>
      <w:r>
        <w:rPr>
          <w:rFonts w:hint="eastAsia"/>
          <w:color w:val="000000"/>
          <w:sz w:val="21"/>
          <w:szCs w:val="21"/>
          <w:lang w:val="en-US" w:eastAsia="zh-CN"/>
        </w:rPr>
        <w:t>09</w:t>
      </w:r>
      <w:r>
        <w:rPr>
          <w:rFonts w:hint="eastAsia"/>
          <w:color w:val="000000"/>
          <w:sz w:val="21"/>
          <w:szCs w:val="21"/>
        </w:rPr>
        <w:t>:00（北京时间）。</w:t>
      </w:r>
    </w:p>
    <w:p w14:paraId="07C60E66">
      <w:pPr>
        <w:pStyle w:val="24"/>
        <w:spacing w:before="0" w:beforeAutospacing="0" w:after="0" w:afterAutospacing="0" w:line="360" w:lineRule="auto"/>
        <w:ind w:firstLine="420" w:firstLineChars="200"/>
        <w:rPr>
          <w:rFonts w:hint="default" w:eastAsia="宋体"/>
          <w:color w:val="000000"/>
          <w:sz w:val="21"/>
          <w:szCs w:val="21"/>
          <w:lang w:val="en-US" w:eastAsia="zh-CN"/>
        </w:rPr>
      </w:pPr>
      <w:r>
        <w:rPr>
          <w:rFonts w:hint="eastAsia"/>
          <w:color w:val="000000"/>
          <w:sz w:val="21"/>
          <w:szCs w:val="21"/>
          <w:lang w:val="en-US" w:eastAsia="zh-CN"/>
        </w:rPr>
        <w:t>3.开标地点：中国机械总院（北京市海淀区首体南路2号）。</w:t>
      </w:r>
    </w:p>
    <w:p w14:paraId="681EDA73">
      <w:pPr>
        <w:spacing w:line="360" w:lineRule="auto"/>
        <w:rPr>
          <w:b/>
          <w:color w:val="000000"/>
        </w:rPr>
      </w:pPr>
      <w:r>
        <w:rPr>
          <w:rFonts w:hint="eastAsia"/>
          <w:b/>
          <w:color w:val="000000"/>
        </w:rPr>
        <w:t>八、投标人的法定代表人或其授权的投标人代表投标时需携带资料：</w:t>
      </w:r>
    </w:p>
    <w:p w14:paraId="1141EA1F">
      <w:pPr>
        <w:spacing w:line="360" w:lineRule="auto"/>
        <w:ind w:firstLine="420" w:firstLineChars="200"/>
        <w:rPr>
          <w:rFonts w:hint="eastAsia" w:ascii="宋体" w:hAnsi="宋体"/>
          <w:color w:val="000000"/>
        </w:rPr>
      </w:pPr>
      <w:r>
        <w:rPr>
          <w:rFonts w:ascii="宋体" w:hAnsi="宋体"/>
          <w:color w:val="000000"/>
        </w:rPr>
        <w:t>1</w:t>
      </w:r>
      <w:r>
        <w:rPr>
          <w:rFonts w:hint="eastAsia" w:ascii="宋体" w:hAnsi="宋体"/>
          <w:color w:val="000000"/>
        </w:rPr>
        <w:t>.法人授权委托书</w:t>
      </w:r>
      <w:r>
        <w:rPr>
          <w:rFonts w:ascii="宋体" w:hAnsi="宋体"/>
          <w:color w:val="000000"/>
        </w:rPr>
        <w:t>2</w:t>
      </w:r>
      <w:r>
        <w:rPr>
          <w:rFonts w:hint="eastAsia" w:ascii="宋体" w:hAnsi="宋体"/>
          <w:color w:val="000000"/>
        </w:rPr>
        <w:t>份（</w:t>
      </w:r>
      <w:r>
        <w:rPr>
          <w:rFonts w:ascii="宋体" w:hAnsi="宋体"/>
          <w:color w:val="000000"/>
        </w:rPr>
        <w:t>1</w:t>
      </w:r>
      <w:r>
        <w:rPr>
          <w:rFonts w:hint="eastAsia" w:ascii="宋体" w:hAnsi="宋体"/>
          <w:color w:val="000000"/>
        </w:rPr>
        <w:t>份密封在投标文件正本内，</w:t>
      </w:r>
      <w:r>
        <w:rPr>
          <w:rFonts w:ascii="宋体" w:hAnsi="宋体"/>
          <w:color w:val="000000"/>
        </w:rPr>
        <w:t>1</w:t>
      </w:r>
      <w:r>
        <w:rPr>
          <w:rFonts w:hint="eastAsia" w:ascii="宋体" w:hAnsi="宋体"/>
          <w:color w:val="000000"/>
        </w:rPr>
        <w:t>份在投标现场提供）。</w:t>
      </w:r>
    </w:p>
    <w:p w14:paraId="3504ECD6">
      <w:pPr>
        <w:spacing w:line="360" w:lineRule="auto"/>
        <w:ind w:firstLine="420" w:firstLineChars="200"/>
        <w:rPr>
          <w:rFonts w:hint="eastAsia" w:ascii="宋体" w:hAnsi="宋体"/>
          <w:color w:val="000000"/>
        </w:rPr>
      </w:pPr>
      <w:r>
        <w:rPr>
          <w:rFonts w:ascii="宋体" w:hAnsi="宋体"/>
          <w:color w:val="000000"/>
        </w:rPr>
        <w:t>2</w:t>
      </w:r>
      <w:r>
        <w:rPr>
          <w:rFonts w:hint="eastAsia" w:ascii="宋体" w:hAnsi="宋体"/>
          <w:color w:val="000000"/>
        </w:rPr>
        <w:t>.</w:t>
      </w:r>
      <w:r>
        <w:rPr>
          <w:rFonts w:hint="eastAsia" w:ascii="宋体" w:hAnsi="宋体" w:cs="宋体"/>
          <w:color w:val="000000"/>
          <w:szCs w:val="21"/>
        </w:rPr>
        <w:t>单独密封的投标文件数据包。应注明项目名称、项目编号、包号、及投标人全称并注明“投标文件数据包”字样</w:t>
      </w:r>
      <w:r>
        <w:rPr>
          <w:rFonts w:hint="eastAsia" w:ascii="宋体" w:hAnsi="宋体"/>
          <w:color w:val="000000"/>
          <w:szCs w:val="21"/>
        </w:rPr>
        <w:t>。</w:t>
      </w:r>
    </w:p>
    <w:p w14:paraId="0FD242F9">
      <w:pPr>
        <w:spacing w:line="360" w:lineRule="auto"/>
        <w:ind w:firstLine="420" w:firstLineChars="200"/>
        <w:rPr>
          <w:rFonts w:hint="eastAsia" w:ascii="宋体" w:hAnsi="宋体"/>
          <w:b/>
          <w:color w:val="000000"/>
        </w:rPr>
      </w:pPr>
      <w:r>
        <w:rPr>
          <w:rFonts w:ascii="宋体" w:hAnsi="宋体"/>
          <w:color w:val="000000"/>
        </w:rPr>
        <w:t>3</w:t>
      </w:r>
      <w:r>
        <w:rPr>
          <w:rFonts w:hint="eastAsia" w:ascii="宋体" w:hAnsi="宋体"/>
          <w:color w:val="000000"/>
        </w:rPr>
        <w:t>.单独密封的投标文件正副本。</w:t>
      </w:r>
      <w:r>
        <w:rPr>
          <w:rFonts w:hint="eastAsia" w:ascii="宋体" w:hAnsi="宋体"/>
          <w:color w:val="000000"/>
          <w:szCs w:val="21"/>
        </w:rPr>
        <w:t>投标文件正本、副本首页显著位置应注明项目名称、项目编号、包号、及投标人全称。</w:t>
      </w:r>
    </w:p>
    <w:p w14:paraId="1C4C2C1A">
      <w:pPr>
        <w:spacing w:line="360" w:lineRule="auto"/>
        <w:ind w:firstLine="420" w:firstLineChars="200"/>
        <w:rPr>
          <w:rFonts w:hint="eastAsia" w:ascii="宋体" w:hAnsi="宋体"/>
          <w:color w:val="000000"/>
        </w:rPr>
      </w:pPr>
      <w:r>
        <w:rPr>
          <w:rFonts w:ascii="宋体" w:hAnsi="宋体"/>
          <w:color w:val="000000"/>
        </w:rPr>
        <w:t>4</w:t>
      </w:r>
      <w:r>
        <w:rPr>
          <w:rFonts w:hint="eastAsia" w:ascii="宋体" w:hAnsi="宋体"/>
          <w:color w:val="000000"/>
        </w:rPr>
        <w:t>.法定代表人本人或其授权的投标人代表身份证原件。</w:t>
      </w:r>
    </w:p>
    <w:p w14:paraId="5049B16C">
      <w:pPr>
        <w:spacing w:line="360" w:lineRule="auto"/>
        <w:ind w:firstLine="420" w:firstLineChars="200"/>
        <w:rPr>
          <w:rFonts w:hint="eastAsia" w:ascii="宋体" w:hAnsi="宋体"/>
          <w:color w:val="000000"/>
        </w:rPr>
      </w:pPr>
      <w:r>
        <w:rPr>
          <w:rFonts w:hint="eastAsia" w:ascii="宋体" w:hAnsi="宋体"/>
          <w:color w:val="000000"/>
        </w:rPr>
        <w:t>5.开标一览表正本（两份一起单独密封于一个信封内并注明“开标一览表”字样在投标现场提供；投标文件正副本中同时提供）。</w:t>
      </w:r>
    </w:p>
    <w:p w14:paraId="27043B0E">
      <w:pPr>
        <w:spacing w:line="360" w:lineRule="auto"/>
        <w:ind w:firstLine="420" w:firstLineChars="200"/>
        <w:rPr>
          <w:rFonts w:hint="eastAsia" w:ascii="宋体" w:hAnsi="宋体"/>
          <w:color w:val="000000"/>
        </w:rPr>
      </w:pPr>
      <w:r>
        <w:rPr>
          <w:rFonts w:ascii="宋体" w:hAnsi="宋体"/>
          <w:color w:val="000000"/>
        </w:rPr>
        <w:t>6</w:t>
      </w:r>
      <w:r>
        <w:rPr>
          <w:rFonts w:hint="eastAsia" w:ascii="宋体" w:hAnsi="宋体"/>
          <w:color w:val="000000"/>
        </w:rPr>
        <w:t>.在规定时间内将上述文件送达投标地点。逾期送达和不符合规定的投标文件恕不接受。</w:t>
      </w:r>
    </w:p>
    <w:p w14:paraId="4B95596F">
      <w:pPr>
        <w:spacing w:line="360" w:lineRule="auto"/>
        <w:ind w:firstLine="420" w:firstLineChars="200"/>
        <w:rPr>
          <w:color w:val="000000"/>
        </w:rPr>
      </w:pPr>
      <w:r>
        <w:rPr>
          <w:rFonts w:ascii="宋体" w:hAnsi="宋体"/>
          <w:color w:val="000000"/>
        </w:rPr>
        <w:t>7</w:t>
      </w:r>
      <w:r>
        <w:rPr>
          <w:rFonts w:hint="eastAsia" w:ascii="宋体" w:hAnsi="宋体"/>
          <w:color w:val="000000"/>
        </w:rPr>
        <w:t>.加盖公章的</w:t>
      </w:r>
      <w:r>
        <w:rPr>
          <w:rFonts w:hint="eastAsia"/>
          <w:color w:val="000000"/>
        </w:rPr>
        <w:t>保证金银行汇款回单复印件单独密封（需单独密封并在投标现场提供，投标文件中可以提供复印件加盖公章）。</w:t>
      </w:r>
    </w:p>
    <w:p w14:paraId="61A9076E">
      <w:pPr>
        <w:spacing w:line="360" w:lineRule="auto"/>
        <w:rPr>
          <w:rFonts w:hint="eastAsia" w:ascii="宋体" w:hAnsi="宋体"/>
          <w:b/>
          <w:color w:val="000000"/>
          <w:szCs w:val="21"/>
        </w:rPr>
      </w:pPr>
      <w:r>
        <w:rPr>
          <w:rFonts w:hint="eastAsia" w:ascii="宋体" w:hAnsi="宋体"/>
          <w:b/>
          <w:color w:val="000000"/>
          <w:szCs w:val="21"/>
        </w:rPr>
        <w:t>十一、联系</w:t>
      </w:r>
      <w:r>
        <w:rPr>
          <w:rFonts w:hint="eastAsia" w:ascii="宋体" w:hAnsi="宋体"/>
          <w:b/>
          <w:color w:val="000000"/>
          <w:szCs w:val="21"/>
          <w:lang w:val="en-US" w:eastAsia="zh-CN"/>
        </w:rPr>
        <w:t>方式</w:t>
      </w:r>
      <w:r>
        <w:rPr>
          <w:rFonts w:hint="eastAsia" w:ascii="宋体" w:hAnsi="宋体"/>
          <w:b/>
          <w:color w:val="000000"/>
          <w:szCs w:val="21"/>
        </w:rPr>
        <w:t>：</w:t>
      </w:r>
    </w:p>
    <w:p w14:paraId="4F996FA7">
      <w:pPr>
        <w:widowControl/>
        <w:shd w:val="clear" w:color="auto" w:fill="FFFFFF"/>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招标</w:t>
      </w:r>
      <w:r>
        <w:rPr>
          <w:rFonts w:hint="eastAsia" w:ascii="宋体" w:hAnsi="宋体"/>
          <w:color w:val="000000"/>
          <w:szCs w:val="21"/>
        </w:rPr>
        <w:t>人：</w:t>
      </w:r>
      <w:r>
        <w:rPr>
          <w:rFonts w:hint="eastAsia" w:ascii="宋体" w:hAnsi="宋体"/>
          <w:color w:val="000000"/>
          <w:szCs w:val="21"/>
          <w:lang w:val="en-US" w:eastAsia="zh-CN"/>
        </w:rPr>
        <w:t>中国机械科学研究总院集团有限公司</w:t>
      </w:r>
    </w:p>
    <w:p w14:paraId="3ECC6195">
      <w:pPr>
        <w:widowControl/>
        <w:shd w:val="clear" w:color="auto" w:fill="FFFFFF"/>
        <w:spacing w:line="360" w:lineRule="auto"/>
        <w:ind w:firstLine="420" w:firstLineChars="200"/>
        <w:rPr>
          <w:rFonts w:hint="default" w:ascii="宋体" w:hAnsi="宋体" w:eastAsia="宋体"/>
          <w:color w:val="000000"/>
          <w:szCs w:val="21"/>
          <w:lang w:val="en-US" w:eastAsia="zh-CN"/>
        </w:rPr>
      </w:pPr>
      <w:r>
        <w:rPr>
          <w:rFonts w:hint="eastAsia" w:ascii="宋体" w:hAnsi="宋体"/>
          <w:color w:val="000000"/>
          <w:szCs w:val="21"/>
        </w:rPr>
        <w:t>地</w:t>
      </w:r>
      <w:r>
        <w:rPr>
          <w:rFonts w:hint="eastAsia" w:ascii="宋体" w:hAnsi="宋体"/>
          <w:color w:val="000000"/>
          <w:szCs w:val="21"/>
          <w:lang w:val="en-US" w:eastAsia="zh-CN"/>
        </w:rPr>
        <w:t xml:space="preserve">  </w:t>
      </w:r>
      <w:r>
        <w:rPr>
          <w:rFonts w:hint="eastAsia" w:ascii="宋体" w:hAnsi="宋体"/>
          <w:color w:val="000000"/>
          <w:szCs w:val="21"/>
        </w:rPr>
        <w:t>址：北京市</w:t>
      </w:r>
      <w:r>
        <w:rPr>
          <w:rFonts w:hint="eastAsia" w:ascii="宋体" w:hAnsi="宋体"/>
          <w:color w:val="000000"/>
          <w:szCs w:val="21"/>
          <w:lang w:val="en-US" w:eastAsia="zh-CN"/>
        </w:rPr>
        <w:t>海淀区首体南路2号</w:t>
      </w:r>
    </w:p>
    <w:p w14:paraId="3B026ED3">
      <w:pPr>
        <w:widowControl/>
        <w:shd w:val="clear" w:color="auto" w:fill="FFFFFF"/>
        <w:spacing w:line="360" w:lineRule="auto"/>
        <w:ind w:firstLine="420" w:firstLineChars="200"/>
        <w:rPr>
          <w:rFonts w:hint="eastAsia" w:ascii="宋体" w:hAnsi="宋体"/>
          <w:color w:val="000000"/>
          <w:szCs w:val="21"/>
          <w:highlight w:val="yellow"/>
        </w:rPr>
      </w:pPr>
      <w:r>
        <w:rPr>
          <w:rFonts w:hint="eastAsia" w:ascii="宋体" w:hAnsi="宋体"/>
          <w:color w:val="000000"/>
          <w:szCs w:val="21"/>
        </w:rPr>
        <w:t>联系人：</w:t>
      </w:r>
      <w:r>
        <w:rPr>
          <w:rFonts w:hint="eastAsia" w:ascii="宋体" w:hAnsi="宋体"/>
          <w:color w:val="000000"/>
          <w:szCs w:val="21"/>
          <w:highlight w:val="none"/>
        </w:rPr>
        <w:t>（首体）严老师  （怀柔）解老师</w:t>
      </w:r>
    </w:p>
    <w:p w14:paraId="5A3DF0E8">
      <w:pPr>
        <w:widowControl/>
        <w:shd w:val="clear" w:color="auto" w:fill="FFFFFF"/>
        <w:spacing w:line="360" w:lineRule="auto"/>
        <w:ind w:firstLine="420" w:firstLineChars="200"/>
        <w:rPr>
          <w:rFonts w:hint="eastAsia" w:ascii="宋体" w:hAnsi="宋体" w:cs="宋体"/>
          <w:color w:val="000000"/>
          <w:szCs w:val="21"/>
        </w:rPr>
      </w:pPr>
      <w:r>
        <w:rPr>
          <w:rFonts w:hint="eastAsia" w:ascii="宋体" w:hAnsi="宋体"/>
          <w:color w:val="000000"/>
          <w:szCs w:val="21"/>
        </w:rPr>
        <w:t>电</w:t>
      </w:r>
      <w:r>
        <w:rPr>
          <w:rFonts w:hint="eastAsia" w:ascii="宋体" w:hAnsi="宋体"/>
          <w:color w:val="000000"/>
          <w:szCs w:val="21"/>
          <w:lang w:val="en-US" w:eastAsia="zh-CN"/>
        </w:rPr>
        <w:t xml:space="preserve">  </w:t>
      </w:r>
      <w:r>
        <w:rPr>
          <w:rFonts w:hint="eastAsia" w:ascii="宋体" w:hAnsi="宋体"/>
          <w:color w:val="000000"/>
          <w:szCs w:val="21"/>
        </w:rPr>
        <w:t>话：010-88301301（首体）010-80990665（怀柔）</w:t>
      </w:r>
    </w:p>
    <w:p w14:paraId="5136455F">
      <w:pPr>
        <w:widowControl/>
        <w:shd w:val="clear" w:color="auto" w:fill="FFFFFF"/>
        <w:spacing w:line="360" w:lineRule="auto"/>
        <w:ind w:firstLine="420" w:firstLineChars="200"/>
        <w:rPr>
          <w:rFonts w:hint="eastAsia" w:ascii="宋体" w:hAnsi="宋体" w:cs="宋体"/>
          <w:color w:val="000000"/>
          <w:szCs w:val="21"/>
        </w:rPr>
        <w:sectPr>
          <w:footerReference r:id="rId5" w:type="default"/>
          <w:pgSz w:w="11906" w:h="16838"/>
          <w:pgMar w:top="1418" w:right="1418" w:bottom="1418" w:left="1701" w:header="851" w:footer="851" w:gutter="0"/>
          <w:cols w:space="720" w:num="1"/>
          <w:docGrid w:type="lines" w:linePitch="312" w:charSpace="0"/>
        </w:sectPr>
      </w:pPr>
    </w:p>
    <w:p w14:paraId="4A555EEE">
      <w:pPr>
        <w:pStyle w:val="2"/>
        <w:rPr>
          <w:b w:val="0"/>
          <w:bCs w:val="0"/>
          <w:color w:val="000000"/>
        </w:rPr>
      </w:pPr>
      <w:bookmarkStart w:id="2" w:name="_Toc25110"/>
      <w:r>
        <w:rPr>
          <w:rFonts w:hint="eastAsia"/>
          <w:b w:val="0"/>
          <w:bCs w:val="0"/>
          <w:color w:val="000000"/>
        </w:rPr>
        <w:t>第二部分</w:t>
      </w:r>
      <w:r>
        <w:rPr>
          <w:b w:val="0"/>
          <w:bCs w:val="0"/>
          <w:color w:val="000000"/>
        </w:rPr>
        <w:t xml:space="preserve"> </w:t>
      </w:r>
      <w:r>
        <w:rPr>
          <w:rFonts w:hint="eastAsia"/>
          <w:b w:val="0"/>
          <w:bCs w:val="0"/>
          <w:color w:val="000000"/>
        </w:rPr>
        <w:t>投标人须知</w:t>
      </w:r>
      <w:bookmarkEnd w:id="2"/>
    </w:p>
    <w:p w14:paraId="04DA42A0">
      <w:pPr>
        <w:pStyle w:val="3"/>
        <w:jc w:val="both"/>
        <w:rPr>
          <w:rFonts w:hint="eastAsia" w:ascii="黑体" w:hAnsi="黑体"/>
          <w:bCs/>
          <w:color w:val="000000"/>
        </w:rPr>
      </w:pPr>
      <w:bookmarkStart w:id="3" w:name="_Toc609"/>
      <w:r>
        <w:rPr>
          <w:rFonts w:hint="eastAsia" w:ascii="黑体" w:hAnsi="黑体"/>
          <w:bCs/>
          <w:color w:val="000000"/>
        </w:rPr>
        <w:t>2.1 投标文件前附表</w:t>
      </w:r>
      <w:bookmarkEnd w:id="3"/>
    </w:p>
    <w:p w14:paraId="55F3A75B">
      <w:pPr>
        <w:spacing w:line="360" w:lineRule="auto"/>
        <w:ind w:firstLine="420"/>
        <w:rPr>
          <w:color w:val="000000"/>
        </w:rPr>
      </w:pPr>
      <w:r>
        <w:rPr>
          <w:rFonts w:hint="eastAsia"/>
          <w:color w:val="000000"/>
        </w:rPr>
        <w:t>为使投标人对本招标文件的目的及适用范围等进行了解，特编制投标文件前附表。</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386"/>
        <w:gridCol w:w="5810"/>
      </w:tblGrid>
      <w:tr w14:paraId="632C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4" w:type="dxa"/>
            <w:tcBorders>
              <w:top w:val="single" w:color="auto" w:sz="4" w:space="0"/>
              <w:left w:val="single" w:color="auto" w:sz="4" w:space="0"/>
              <w:bottom w:val="single" w:color="auto" w:sz="4" w:space="0"/>
              <w:right w:val="single" w:color="auto" w:sz="4" w:space="0"/>
            </w:tcBorders>
            <w:shd w:val="clear" w:color="auto" w:fill="C0C0C0"/>
            <w:vAlign w:val="center"/>
          </w:tcPr>
          <w:p w14:paraId="592C0E2A">
            <w:pPr>
              <w:jc w:val="center"/>
              <w:rPr>
                <w:rFonts w:hint="eastAsia" w:ascii="宋体" w:hAnsi="宋体"/>
                <w:b/>
                <w:color w:val="000000"/>
                <w:szCs w:val="28"/>
              </w:rPr>
            </w:pPr>
            <w:r>
              <w:rPr>
                <w:rFonts w:hint="eastAsia" w:ascii="宋体" w:hAnsi="宋体"/>
                <w:b/>
                <w:color w:val="000000"/>
                <w:szCs w:val="28"/>
              </w:rPr>
              <w:t>序号</w:t>
            </w:r>
          </w:p>
        </w:tc>
        <w:tc>
          <w:tcPr>
            <w:tcW w:w="2386" w:type="dxa"/>
            <w:tcBorders>
              <w:top w:val="single" w:color="auto" w:sz="4" w:space="0"/>
              <w:left w:val="single" w:color="auto" w:sz="4" w:space="0"/>
              <w:bottom w:val="single" w:color="auto" w:sz="4" w:space="0"/>
              <w:right w:val="single" w:color="auto" w:sz="4" w:space="0"/>
            </w:tcBorders>
            <w:shd w:val="clear" w:color="auto" w:fill="C0C0C0"/>
            <w:vAlign w:val="center"/>
          </w:tcPr>
          <w:p w14:paraId="298A2FC3">
            <w:pPr>
              <w:jc w:val="center"/>
              <w:rPr>
                <w:rFonts w:hint="eastAsia" w:ascii="宋体" w:hAnsi="宋体"/>
                <w:b/>
                <w:color w:val="000000"/>
                <w:szCs w:val="28"/>
              </w:rPr>
            </w:pPr>
            <w:r>
              <w:rPr>
                <w:rFonts w:hint="eastAsia" w:ascii="宋体" w:hAnsi="宋体"/>
                <w:b/>
                <w:color w:val="000000"/>
                <w:szCs w:val="28"/>
              </w:rPr>
              <w:t>内容</w:t>
            </w:r>
          </w:p>
        </w:tc>
        <w:tc>
          <w:tcPr>
            <w:tcW w:w="5810" w:type="dxa"/>
            <w:tcBorders>
              <w:top w:val="single" w:color="auto" w:sz="4" w:space="0"/>
              <w:left w:val="single" w:color="auto" w:sz="4" w:space="0"/>
              <w:bottom w:val="single" w:color="auto" w:sz="4" w:space="0"/>
              <w:right w:val="single" w:color="auto" w:sz="4" w:space="0"/>
            </w:tcBorders>
            <w:shd w:val="clear" w:color="auto" w:fill="C0C0C0"/>
            <w:vAlign w:val="center"/>
          </w:tcPr>
          <w:p w14:paraId="101A518A">
            <w:pPr>
              <w:jc w:val="center"/>
              <w:rPr>
                <w:rFonts w:hint="eastAsia" w:ascii="宋体" w:hAnsi="宋体"/>
                <w:b/>
                <w:color w:val="000000"/>
                <w:szCs w:val="28"/>
              </w:rPr>
            </w:pPr>
            <w:r>
              <w:rPr>
                <w:rFonts w:hint="eastAsia" w:ascii="宋体" w:hAnsi="宋体"/>
                <w:b/>
                <w:color w:val="000000"/>
                <w:szCs w:val="28"/>
              </w:rPr>
              <w:t>说明与要求</w:t>
            </w:r>
          </w:p>
        </w:tc>
      </w:tr>
      <w:tr w14:paraId="63F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6EFC5DCE">
            <w:pPr>
              <w:jc w:val="center"/>
              <w:rPr>
                <w:rFonts w:hint="eastAsia" w:ascii="宋体" w:hAnsi="宋体"/>
                <w:b/>
                <w:color w:val="000000"/>
                <w:szCs w:val="28"/>
              </w:rPr>
            </w:pPr>
            <w:r>
              <w:rPr>
                <w:rFonts w:hint="eastAsia" w:ascii="宋体" w:hAnsi="宋体"/>
                <w:b/>
                <w:color w:val="000000"/>
                <w:szCs w:val="28"/>
              </w:rPr>
              <w:t>1</w:t>
            </w:r>
          </w:p>
        </w:tc>
        <w:tc>
          <w:tcPr>
            <w:tcW w:w="2386" w:type="dxa"/>
            <w:tcBorders>
              <w:top w:val="single" w:color="auto" w:sz="4" w:space="0"/>
              <w:left w:val="single" w:color="auto" w:sz="4" w:space="0"/>
              <w:bottom w:val="single" w:color="auto" w:sz="4" w:space="0"/>
              <w:right w:val="single" w:color="auto" w:sz="4" w:space="0"/>
            </w:tcBorders>
            <w:vAlign w:val="center"/>
          </w:tcPr>
          <w:p w14:paraId="1C94F13F">
            <w:pPr>
              <w:pStyle w:val="62"/>
              <w:keepNext w:val="0"/>
              <w:keepLines w:val="0"/>
              <w:numPr>
                <w:ilvl w:val="0"/>
                <w:numId w:val="0"/>
              </w:numPr>
              <w:spacing w:before="0" w:after="0"/>
              <w:jc w:val="center"/>
              <w:rPr>
                <w:rFonts w:hint="eastAsia" w:ascii="宋体" w:hAnsi="宋体" w:eastAsia="宋体"/>
                <w:color w:val="000000"/>
                <w:sz w:val="21"/>
                <w:szCs w:val="28"/>
              </w:rPr>
            </w:pPr>
            <w:r>
              <w:rPr>
                <w:rFonts w:hint="eastAsia" w:ascii="宋体" w:hAnsi="宋体" w:eastAsia="宋体"/>
                <w:color w:val="000000"/>
                <w:sz w:val="21"/>
                <w:szCs w:val="28"/>
              </w:rPr>
              <w:t>招标人名称</w:t>
            </w:r>
          </w:p>
        </w:tc>
        <w:tc>
          <w:tcPr>
            <w:tcW w:w="5810" w:type="dxa"/>
            <w:tcBorders>
              <w:top w:val="single" w:color="auto" w:sz="4" w:space="0"/>
              <w:left w:val="single" w:color="auto" w:sz="4" w:space="0"/>
              <w:bottom w:val="single" w:color="auto" w:sz="4" w:space="0"/>
              <w:right w:val="single" w:color="auto" w:sz="4" w:space="0"/>
            </w:tcBorders>
            <w:vAlign w:val="center"/>
          </w:tcPr>
          <w:p w14:paraId="5FBFD691">
            <w:pPr>
              <w:pStyle w:val="60"/>
              <w:keepNext w:val="0"/>
              <w:keepLines w:val="0"/>
              <w:spacing w:before="0" w:after="0" w:line="240" w:lineRule="auto"/>
              <w:ind w:left="0"/>
              <w:jc w:val="both"/>
              <w:rPr>
                <w:rFonts w:hint="default" w:eastAsia="宋体"/>
                <w:szCs w:val="21"/>
                <w:lang w:val="en-US" w:eastAsia="zh-CN"/>
              </w:rPr>
            </w:pPr>
            <w:r>
              <w:rPr>
                <w:rFonts w:hint="eastAsia"/>
                <w:szCs w:val="21"/>
                <w:lang w:val="en-US" w:eastAsia="zh-CN"/>
              </w:rPr>
              <w:t>中国机械科学研究总院集团有限公司</w:t>
            </w:r>
          </w:p>
        </w:tc>
      </w:tr>
      <w:tr w14:paraId="62A1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22D52461">
            <w:pPr>
              <w:jc w:val="center"/>
              <w:rPr>
                <w:rFonts w:hint="eastAsia" w:ascii="宋体" w:hAnsi="宋体"/>
                <w:b/>
                <w:color w:val="000000"/>
                <w:szCs w:val="28"/>
              </w:rPr>
            </w:pPr>
            <w:r>
              <w:rPr>
                <w:rFonts w:hint="eastAsia" w:ascii="宋体" w:hAnsi="宋体"/>
                <w:b/>
                <w:color w:val="000000"/>
                <w:szCs w:val="28"/>
              </w:rPr>
              <w:t>2</w:t>
            </w:r>
          </w:p>
        </w:tc>
        <w:tc>
          <w:tcPr>
            <w:tcW w:w="2386" w:type="dxa"/>
            <w:tcBorders>
              <w:top w:val="single" w:color="auto" w:sz="4" w:space="0"/>
              <w:left w:val="single" w:color="auto" w:sz="4" w:space="0"/>
              <w:bottom w:val="single" w:color="auto" w:sz="4" w:space="0"/>
              <w:right w:val="single" w:color="auto" w:sz="4" w:space="0"/>
            </w:tcBorders>
            <w:vAlign w:val="center"/>
          </w:tcPr>
          <w:p w14:paraId="138E5F34">
            <w:pPr>
              <w:pStyle w:val="62"/>
              <w:numPr>
                <w:ilvl w:val="0"/>
                <w:numId w:val="0"/>
              </w:numPr>
              <w:spacing w:before="0" w:after="0"/>
              <w:jc w:val="center"/>
              <w:rPr>
                <w:color w:val="000000"/>
              </w:rPr>
            </w:pPr>
            <w:r>
              <w:rPr>
                <w:rFonts w:hint="eastAsia" w:ascii="宋体" w:hAnsi="宋体" w:eastAsia="宋体"/>
                <w:color w:val="000000"/>
                <w:sz w:val="21"/>
                <w:szCs w:val="28"/>
              </w:rPr>
              <w:t>投标人的资质要求</w:t>
            </w:r>
          </w:p>
        </w:tc>
        <w:tc>
          <w:tcPr>
            <w:tcW w:w="5810" w:type="dxa"/>
            <w:tcBorders>
              <w:top w:val="single" w:color="auto" w:sz="4" w:space="0"/>
              <w:left w:val="single" w:color="auto" w:sz="4" w:space="0"/>
              <w:bottom w:val="single" w:color="auto" w:sz="4" w:space="0"/>
              <w:right w:val="single" w:color="auto" w:sz="4" w:space="0"/>
            </w:tcBorders>
            <w:vAlign w:val="center"/>
          </w:tcPr>
          <w:p w14:paraId="22E75638">
            <w:pPr>
              <w:widowControl/>
              <w:shd w:val="clear" w:color="auto" w:fill="FFFFFF"/>
              <w:rPr>
                <w:color w:val="000000"/>
              </w:rPr>
            </w:pPr>
            <w:r>
              <w:rPr>
                <w:rFonts w:hint="eastAsia"/>
                <w:color w:val="000000"/>
              </w:rPr>
              <w:t>本项目不接受单位负责人为同一人或者存在直接控股、管理关系的不同供应商同时参与同一合同项下的投标。合格投标人必须符合以下条件，否则招标人有权拒绝投标人的投标：</w:t>
            </w:r>
          </w:p>
          <w:p w14:paraId="612F6D55">
            <w:pPr>
              <w:widowControl/>
              <w:shd w:val="clear" w:color="auto" w:fill="FFFFFF"/>
              <w:rPr>
                <w:rFonts w:hint="eastAsia" w:ascii="宋体" w:hAnsi="宋体"/>
                <w:color w:val="000000"/>
              </w:rPr>
            </w:pPr>
            <w:r>
              <w:rPr>
                <w:rFonts w:hint="eastAsia" w:ascii="宋体" w:hAnsi="宋体"/>
                <w:color w:val="000000"/>
              </w:rPr>
              <w:t>1.具有独立承担民事责任的能力；</w:t>
            </w:r>
          </w:p>
          <w:p w14:paraId="0365E706">
            <w:pPr>
              <w:widowControl/>
              <w:shd w:val="clear" w:color="auto" w:fill="FFFFFF"/>
              <w:rPr>
                <w:rFonts w:hint="eastAsia" w:ascii="宋体" w:hAnsi="宋体"/>
                <w:color w:val="000000"/>
              </w:rPr>
            </w:pPr>
            <w:r>
              <w:rPr>
                <w:rFonts w:hint="eastAsia" w:ascii="宋体" w:hAnsi="宋体"/>
                <w:color w:val="000000"/>
              </w:rPr>
              <w:t>2.具有良好的商业信誉和健全的财务会计制度；</w:t>
            </w:r>
          </w:p>
          <w:p w14:paraId="57126054">
            <w:pPr>
              <w:widowControl/>
              <w:shd w:val="clear" w:color="auto" w:fill="FFFFFF"/>
              <w:rPr>
                <w:rFonts w:hint="eastAsia" w:ascii="宋体" w:hAnsi="宋体"/>
                <w:color w:val="000000"/>
              </w:rPr>
            </w:pPr>
            <w:r>
              <w:rPr>
                <w:rFonts w:hint="eastAsia" w:ascii="宋体" w:hAnsi="宋体"/>
                <w:color w:val="000000"/>
              </w:rPr>
              <w:t>3.具有履行合同所必需的设备和专业技术能力；</w:t>
            </w:r>
          </w:p>
          <w:p w14:paraId="5DCEE08E">
            <w:pPr>
              <w:widowControl/>
              <w:shd w:val="clear" w:color="auto" w:fill="FFFFFF"/>
              <w:rPr>
                <w:rFonts w:hint="eastAsia" w:ascii="宋体" w:hAnsi="宋体"/>
                <w:color w:val="000000"/>
              </w:rPr>
            </w:pPr>
            <w:r>
              <w:rPr>
                <w:rFonts w:hint="eastAsia" w:ascii="宋体" w:hAnsi="宋体"/>
                <w:color w:val="000000"/>
              </w:rPr>
              <w:t>4.具有依法缴纳税收和社会保障资金的良好记录；</w:t>
            </w:r>
          </w:p>
          <w:p w14:paraId="0F55801D">
            <w:pPr>
              <w:widowControl/>
              <w:shd w:val="clear" w:color="auto" w:fill="FFFFFF"/>
              <w:rPr>
                <w:rFonts w:hint="eastAsia" w:ascii="宋体" w:hAnsi="宋体"/>
                <w:color w:val="000000"/>
              </w:rPr>
            </w:pPr>
            <w:r>
              <w:rPr>
                <w:rFonts w:hint="eastAsia" w:ascii="宋体" w:hAnsi="宋体"/>
                <w:color w:val="000000"/>
              </w:rPr>
              <w:t>5.具备有效期内的《餐饮服务许可证》或《食品经营许可证》；</w:t>
            </w:r>
          </w:p>
          <w:p w14:paraId="369F6A8A">
            <w:pPr>
              <w:widowControl/>
              <w:shd w:val="clear" w:color="auto" w:fill="FFFFFF"/>
              <w:rPr>
                <w:rFonts w:hint="eastAsia" w:ascii="宋体" w:hAnsi="宋体"/>
                <w:color w:val="000000"/>
              </w:rPr>
            </w:pPr>
            <w:r>
              <w:rPr>
                <w:rFonts w:hint="eastAsia" w:ascii="宋体" w:hAnsi="宋体"/>
                <w:color w:val="000000"/>
              </w:rPr>
              <w:t>6.投标人未被“信用中国”网站（www.creditchina.gov.cn）列入失信被执行人、重大税收违法失信主体、政府采购严重违法失信行为记录名单；</w:t>
            </w:r>
          </w:p>
          <w:p w14:paraId="2DC01DB1">
            <w:pPr>
              <w:widowControl/>
              <w:shd w:val="clear" w:color="auto" w:fill="FFFFFF"/>
              <w:rPr>
                <w:rFonts w:hint="eastAsia" w:ascii="宋体" w:hAnsi="宋体"/>
                <w:color w:val="000000"/>
              </w:rPr>
            </w:pPr>
            <w:r>
              <w:rPr>
                <w:rFonts w:hint="eastAsia" w:ascii="宋体" w:hAnsi="宋体"/>
                <w:color w:val="000000"/>
              </w:rPr>
              <w:t>7.法律、行政法规规定的其他条件；</w:t>
            </w:r>
          </w:p>
          <w:p w14:paraId="2B35C962">
            <w:pPr>
              <w:widowControl/>
              <w:shd w:val="clear" w:color="auto" w:fill="FFFFFF"/>
              <w:rPr>
                <w:color w:val="000000"/>
              </w:rPr>
            </w:pPr>
            <w:r>
              <w:rPr>
                <w:rFonts w:hint="eastAsia" w:ascii="宋体" w:hAnsi="宋体"/>
                <w:color w:val="000000"/>
              </w:rPr>
              <w:t>8.本项目不接受联合体投标。</w:t>
            </w:r>
          </w:p>
        </w:tc>
      </w:tr>
      <w:tr w14:paraId="02FB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277CA49B">
            <w:pPr>
              <w:jc w:val="center"/>
              <w:rPr>
                <w:rFonts w:hint="eastAsia" w:ascii="宋体" w:hAnsi="宋体"/>
                <w:b/>
                <w:color w:val="000000"/>
                <w:szCs w:val="28"/>
              </w:rPr>
            </w:pPr>
            <w:r>
              <w:rPr>
                <w:rFonts w:hint="eastAsia" w:ascii="宋体" w:hAnsi="宋体"/>
                <w:b/>
                <w:color w:val="000000"/>
                <w:szCs w:val="28"/>
              </w:rPr>
              <w:t>3</w:t>
            </w:r>
          </w:p>
        </w:tc>
        <w:tc>
          <w:tcPr>
            <w:tcW w:w="2386" w:type="dxa"/>
            <w:tcBorders>
              <w:top w:val="single" w:color="auto" w:sz="4" w:space="0"/>
              <w:left w:val="single" w:color="auto" w:sz="4" w:space="0"/>
              <w:bottom w:val="single" w:color="auto" w:sz="4" w:space="0"/>
              <w:right w:val="single" w:color="auto" w:sz="4" w:space="0"/>
            </w:tcBorders>
            <w:vAlign w:val="center"/>
          </w:tcPr>
          <w:p w14:paraId="7121ADA8">
            <w:pPr>
              <w:jc w:val="center"/>
              <w:rPr>
                <w:rFonts w:hint="eastAsia" w:ascii="宋体" w:hAnsi="宋体" w:cs="宋体"/>
                <w:b/>
                <w:bCs/>
                <w:color w:val="000000"/>
                <w:kern w:val="0"/>
                <w:szCs w:val="28"/>
              </w:rPr>
            </w:pPr>
            <w:r>
              <w:rPr>
                <w:rFonts w:hint="eastAsia" w:ascii="宋体" w:hAnsi="宋体" w:cs="宋体"/>
                <w:b/>
                <w:bCs/>
                <w:color w:val="000000"/>
                <w:kern w:val="0"/>
                <w:szCs w:val="28"/>
              </w:rPr>
              <w:t>投标人应提交的商务文件（具体格式详见5.2商务部分编制格式）</w:t>
            </w:r>
          </w:p>
        </w:tc>
        <w:tc>
          <w:tcPr>
            <w:tcW w:w="5810" w:type="dxa"/>
            <w:tcBorders>
              <w:top w:val="single" w:color="auto" w:sz="4" w:space="0"/>
              <w:left w:val="single" w:color="auto" w:sz="4" w:space="0"/>
              <w:bottom w:val="single" w:color="auto" w:sz="4" w:space="0"/>
              <w:right w:val="single" w:color="auto" w:sz="4" w:space="0"/>
            </w:tcBorders>
            <w:vAlign w:val="center"/>
          </w:tcPr>
          <w:p w14:paraId="63DFE4E4">
            <w:pPr>
              <w:widowControl/>
              <w:shd w:val="clear" w:color="auto" w:fill="FFFFFF"/>
              <w:rPr>
                <w:rStyle w:val="31"/>
                <w:rFonts w:hint="eastAsia" w:ascii="宋体" w:hAnsi="宋体" w:cs="宋体"/>
                <w:b/>
                <w:color w:val="000000"/>
              </w:rPr>
            </w:pPr>
            <w:r>
              <w:rPr>
                <w:rStyle w:val="31"/>
                <w:rFonts w:hint="eastAsia" w:ascii="宋体" w:hAnsi="宋体" w:cs="宋体"/>
                <w:b/>
                <w:color w:val="000000"/>
              </w:rPr>
              <w:t>特别提示：以下加*项目若有缺失或无效，将不允许在开标后补正且可能导致投标被拒绝。</w:t>
            </w:r>
          </w:p>
          <w:p w14:paraId="5536466A">
            <w:pPr>
              <w:pStyle w:val="14"/>
              <w:numPr>
                <w:ilvl w:val="0"/>
                <w:numId w:val="4"/>
              </w:numPr>
              <w:ind w:left="0" w:firstLine="0"/>
              <w:rPr>
                <w:rFonts w:hint="eastAsia" w:hAnsi="宋体"/>
                <w:color w:val="000000"/>
                <w:sz w:val="21"/>
              </w:rPr>
            </w:pPr>
            <w:r>
              <w:rPr>
                <w:rFonts w:hint="eastAsia" w:hAnsi="宋体"/>
                <w:color w:val="000000"/>
                <w:sz w:val="21"/>
              </w:rPr>
              <w:t>*投标函</w:t>
            </w:r>
          </w:p>
          <w:p w14:paraId="0FC344DD">
            <w:pPr>
              <w:pStyle w:val="14"/>
              <w:numPr>
                <w:ilvl w:val="0"/>
                <w:numId w:val="4"/>
              </w:numPr>
              <w:ind w:left="0" w:firstLine="0"/>
              <w:rPr>
                <w:rFonts w:hint="eastAsia" w:hAnsi="宋体"/>
                <w:color w:val="000000"/>
                <w:sz w:val="21"/>
              </w:rPr>
            </w:pPr>
            <w:r>
              <w:rPr>
                <w:rFonts w:hint="eastAsia" w:hAnsi="宋体"/>
                <w:color w:val="000000"/>
                <w:sz w:val="21"/>
              </w:rPr>
              <w:t>*法定代表人授权委托书（如投标人代表不是法定代表人本人的，须提供此委托书，开标登记时应提供一份原件）</w:t>
            </w:r>
          </w:p>
          <w:p w14:paraId="0ED07119">
            <w:pPr>
              <w:pStyle w:val="14"/>
              <w:numPr>
                <w:ilvl w:val="0"/>
                <w:numId w:val="4"/>
              </w:numPr>
              <w:ind w:left="0" w:firstLine="0"/>
              <w:rPr>
                <w:rFonts w:hint="eastAsia" w:hAnsi="宋体"/>
                <w:color w:val="000000"/>
                <w:sz w:val="21"/>
              </w:rPr>
            </w:pPr>
            <w:r>
              <w:rPr>
                <w:rFonts w:hint="eastAsia" w:hAnsi="宋体"/>
                <w:color w:val="000000"/>
                <w:sz w:val="21"/>
              </w:rPr>
              <w:t>*</w:t>
            </w:r>
            <w:r>
              <w:rPr>
                <w:rFonts w:hAnsi="宋体"/>
                <w:sz w:val="21"/>
              </w:rPr>
              <w:t>法人或者其他组织的营业执照等证明文件（复印件加盖公章），自然人的身份证明（复印件本人签字）</w:t>
            </w:r>
          </w:p>
          <w:p w14:paraId="21B03CA6">
            <w:pPr>
              <w:pStyle w:val="14"/>
              <w:numPr>
                <w:ilvl w:val="0"/>
                <w:numId w:val="4"/>
              </w:numPr>
              <w:ind w:left="0" w:firstLine="0"/>
              <w:rPr>
                <w:rFonts w:hint="eastAsia" w:hAnsi="宋体"/>
                <w:color w:val="000000"/>
                <w:sz w:val="21"/>
              </w:rPr>
            </w:pPr>
            <w:r>
              <w:rPr>
                <w:rFonts w:hint="eastAsia" w:hAnsi="宋体"/>
                <w:color w:val="000000"/>
                <w:sz w:val="21"/>
              </w:rPr>
              <w:t>*202</w:t>
            </w:r>
            <w:r>
              <w:rPr>
                <w:rFonts w:hint="eastAsia" w:hAnsi="宋体"/>
                <w:color w:val="000000"/>
                <w:sz w:val="21"/>
                <w:lang w:val="en-US" w:eastAsia="zh-CN"/>
              </w:rPr>
              <w:t>4</w:t>
            </w:r>
            <w:r>
              <w:rPr>
                <w:rFonts w:hint="eastAsia" w:hAnsi="宋体"/>
                <w:color w:val="000000"/>
                <w:sz w:val="21"/>
              </w:rPr>
              <w:t>年度经会计师事务所审计的财务审计报告、资产负债表及损益表/利润表（复印件加盖公章，若无2</w:t>
            </w:r>
            <w:r>
              <w:rPr>
                <w:rFonts w:hAnsi="宋体"/>
                <w:color w:val="000000"/>
                <w:sz w:val="21"/>
              </w:rPr>
              <w:t>02</w:t>
            </w:r>
            <w:r>
              <w:rPr>
                <w:rFonts w:hint="eastAsia" w:hAnsi="宋体"/>
                <w:color w:val="000000"/>
                <w:sz w:val="21"/>
                <w:lang w:val="en-US" w:eastAsia="zh-CN"/>
              </w:rPr>
              <w:t>4</w:t>
            </w:r>
            <w:r>
              <w:rPr>
                <w:rFonts w:hint="eastAsia" w:hAnsi="宋体"/>
                <w:color w:val="000000"/>
                <w:sz w:val="21"/>
              </w:rPr>
              <w:t>年度经会计师事务所审计的财务审计报告，请提供2</w:t>
            </w:r>
            <w:r>
              <w:rPr>
                <w:rFonts w:hAnsi="宋体"/>
                <w:color w:val="000000"/>
                <w:sz w:val="21"/>
              </w:rPr>
              <w:t>02</w:t>
            </w:r>
            <w:r>
              <w:rPr>
                <w:rFonts w:hint="eastAsia" w:hAnsi="宋体"/>
                <w:color w:val="000000"/>
                <w:sz w:val="21"/>
                <w:lang w:val="en-US" w:eastAsia="zh-CN"/>
              </w:rPr>
              <w:t>3</w:t>
            </w:r>
            <w:r>
              <w:rPr>
                <w:rFonts w:hint="eastAsia" w:hAnsi="宋体"/>
                <w:color w:val="000000"/>
                <w:sz w:val="21"/>
              </w:rPr>
              <w:t>年度经会计师事务所审计的财务审计报告）</w:t>
            </w:r>
          </w:p>
          <w:p w14:paraId="18DDD06D">
            <w:pPr>
              <w:pStyle w:val="14"/>
              <w:numPr>
                <w:ilvl w:val="0"/>
                <w:numId w:val="4"/>
              </w:numPr>
              <w:ind w:left="0" w:firstLine="0"/>
              <w:rPr>
                <w:rFonts w:hint="eastAsia" w:hAnsi="宋体"/>
                <w:color w:val="000000"/>
                <w:sz w:val="21"/>
              </w:rPr>
            </w:pPr>
            <w:r>
              <w:rPr>
                <w:rFonts w:hint="eastAsia" w:hAnsi="宋体"/>
                <w:color w:val="000000"/>
                <w:sz w:val="21"/>
              </w:rPr>
              <w:t>*最近一年任意三个月依法缴纳各种税收和社会保障资金的相关证明材料（复印件加盖公章）</w:t>
            </w:r>
          </w:p>
          <w:p w14:paraId="2B68338A">
            <w:pPr>
              <w:pStyle w:val="14"/>
              <w:numPr>
                <w:ilvl w:val="0"/>
                <w:numId w:val="4"/>
              </w:numPr>
              <w:ind w:left="0" w:firstLine="0"/>
              <w:rPr>
                <w:rFonts w:hint="eastAsia" w:hAnsi="宋体"/>
                <w:color w:val="000000"/>
                <w:sz w:val="21"/>
              </w:rPr>
            </w:pPr>
            <w:r>
              <w:rPr>
                <w:rFonts w:hint="eastAsia" w:hAnsi="宋体"/>
                <w:color w:val="000000"/>
                <w:sz w:val="21"/>
              </w:rPr>
              <w:t>*具备履行合同所必需的设备和专业技术能力的证明材料（</w:t>
            </w:r>
            <w:r>
              <w:rPr>
                <w:rFonts w:hint="eastAsia" w:hAnsi="宋体" w:cs="宋体"/>
                <w:color w:val="000000"/>
                <w:sz w:val="21"/>
              </w:rPr>
              <w:t>投标人具有近三年（202</w:t>
            </w:r>
            <w:r>
              <w:rPr>
                <w:rFonts w:hint="eastAsia" w:hAnsi="宋体" w:cs="宋体"/>
                <w:color w:val="000000"/>
                <w:sz w:val="21"/>
                <w:lang w:val="en-US" w:eastAsia="zh-CN"/>
              </w:rPr>
              <w:t>2</w:t>
            </w:r>
            <w:r>
              <w:rPr>
                <w:rFonts w:hint="eastAsia" w:hAnsi="宋体" w:cs="宋体"/>
                <w:color w:val="000000"/>
                <w:sz w:val="21"/>
              </w:rPr>
              <w:t>年1月1日起，以合同签订时间为</w:t>
            </w:r>
            <w:r>
              <w:rPr>
                <w:rFonts w:hint="eastAsia" w:hAnsi="宋体"/>
                <w:color w:val="000000"/>
                <w:sz w:val="21"/>
              </w:rPr>
              <w:t>准）就餐人数满足</w:t>
            </w:r>
            <w:r>
              <w:rPr>
                <w:rFonts w:hint="eastAsia" w:hAnsi="宋体"/>
                <w:color w:val="000000"/>
                <w:sz w:val="21"/>
                <w:lang w:val="en-US" w:eastAsia="zh-CN"/>
              </w:rPr>
              <w:t>800</w:t>
            </w:r>
            <w:r>
              <w:rPr>
                <w:rFonts w:hint="eastAsia" w:hAnsi="宋体"/>
                <w:color w:val="000000"/>
                <w:sz w:val="21"/>
              </w:rPr>
              <w:t>人（含）以上的项目经验）（投标人须提供合同关键页的复印件，至少包含合同首页、体现合同内容和就餐人数的关键页（合同中不能提供就餐人数的也可提供用户的证明材料，多个服务对象同一项目地址可合并计算人数）、签订日期页、签字盖章页，加盖公章）</w:t>
            </w:r>
          </w:p>
          <w:p w14:paraId="6DE91684">
            <w:pPr>
              <w:pStyle w:val="14"/>
              <w:numPr>
                <w:ilvl w:val="0"/>
                <w:numId w:val="4"/>
              </w:numPr>
              <w:ind w:left="0" w:firstLine="0"/>
              <w:rPr>
                <w:rFonts w:hint="eastAsia" w:hAnsi="宋体"/>
                <w:color w:val="000000"/>
                <w:sz w:val="21"/>
              </w:rPr>
            </w:pPr>
            <w:r>
              <w:rPr>
                <w:rFonts w:hint="eastAsia" w:hAnsi="宋体"/>
                <w:color w:val="000000"/>
                <w:sz w:val="21"/>
              </w:rPr>
              <w:t>*未被“信用中国”网站（www.creditchina.gov.cn）列入失信被执行人、重大税收违法失信主体、政府采购严重违法失信行为记录名单）（由评标委员会进行查询，投标人无需提供）</w:t>
            </w:r>
          </w:p>
          <w:p w14:paraId="7CF6D35C">
            <w:pPr>
              <w:pStyle w:val="14"/>
              <w:numPr>
                <w:ilvl w:val="0"/>
                <w:numId w:val="4"/>
              </w:numPr>
              <w:ind w:left="0" w:firstLine="0"/>
              <w:rPr>
                <w:rFonts w:hint="eastAsia" w:hAnsi="宋体"/>
                <w:color w:val="000000"/>
                <w:sz w:val="21"/>
              </w:rPr>
            </w:pPr>
            <w:r>
              <w:rPr>
                <w:rFonts w:hint="eastAsia" w:hAnsi="宋体"/>
                <w:color w:val="000000"/>
                <w:sz w:val="21"/>
              </w:rPr>
              <w:t>*投标人开户银行出具的银行资信证明原件或复印件</w:t>
            </w:r>
          </w:p>
          <w:p w14:paraId="21D560C0">
            <w:pPr>
              <w:pStyle w:val="14"/>
              <w:numPr>
                <w:ilvl w:val="0"/>
                <w:numId w:val="4"/>
              </w:numPr>
              <w:ind w:left="0" w:firstLine="0"/>
              <w:rPr>
                <w:rFonts w:hint="eastAsia" w:hAnsi="宋体"/>
                <w:color w:val="000000"/>
                <w:sz w:val="21"/>
              </w:rPr>
            </w:pPr>
            <w:r>
              <w:rPr>
                <w:rFonts w:hint="eastAsia" w:hAnsi="宋体"/>
                <w:color w:val="000000"/>
                <w:sz w:val="21"/>
              </w:rPr>
              <w:t>*商务条款逐项应答表</w:t>
            </w:r>
          </w:p>
          <w:p w14:paraId="7D27FF7A">
            <w:pPr>
              <w:pStyle w:val="14"/>
              <w:numPr>
                <w:ilvl w:val="0"/>
                <w:numId w:val="4"/>
              </w:numPr>
              <w:ind w:left="0" w:firstLine="0"/>
              <w:rPr>
                <w:rFonts w:hint="eastAsia" w:hAnsi="宋体"/>
                <w:color w:val="000000"/>
                <w:sz w:val="21"/>
              </w:rPr>
            </w:pPr>
            <w:r>
              <w:rPr>
                <w:rFonts w:hint="eastAsia" w:hAnsi="宋体"/>
                <w:color w:val="000000"/>
                <w:sz w:val="21"/>
              </w:rPr>
              <w:t>*投标保证金</w:t>
            </w:r>
          </w:p>
          <w:p w14:paraId="779408E8">
            <w:pPr>
              <w:pStyle w:val="14"/>
              <w:numPr>
                <w:ilvl w:val="0"/>
                <w:numId w:val="4"/>
              </w:numPr>
              <w:ind w:left="0" w:firstLine="0"/>
              <w:rPr>
                <w:rFonts w:hint="eastAsia" w:hAnsi="宋体"/>
                <w:color w:val="000000"/>
                <w:sz w:val="21"/>
              </w:rPr>
            </w:pPr>
            <w:r>
              <w:rPr>
                <w:rFonts w:hint="eastAsia" w:hAnsi="宋体"/>
                <w:color w:val="000000"/>
                <w:sz w:val="21"/>
              </w:rPr>
              <w:t>*供应商承诺书</w:t>
            </w:r>
          </w:p>
          <w:p w14:paraId="593AC34D">
            <w:pPr>
              <w:pStyle w:val="14"/>
              <w:numPr>
                <w:ilvl w:val="0"/>
                <w:numId w:val="4"/>
              </w:numPr>
              <w:ind w:left="0" w:firstLine="0"/>
              <w:rPr>
                <w:rFonts w:hint="eastAsia" w:hAnsi="宋体"/>
                <w:color w:val="000000"/>
                <w:sz w:val="21"/>
              </w:rPr>
            </w:pPr>
            <w:r>
              <w:rPr>
                <w:rFonts w:hint="eastAsia" w:hAnsi="宋体"/>
                <w:color w:val="000000"/>
                <w:sz w:val="21"/>
              </w:rPr>
              <w:t>企业实力情况</w:t>
            </w:r>
          </w:p>
          <w:p w14:paraId="6769E9CF">
            <w:pPr>
              <w:pStyle w:val="14"/>
              <w:numPr>
                <w:ilvl w:val="0"/>
                <w:numId w:val="4"/>
              </w:numPr>
              <w:ind w:left="0" w:firstLine="0"/>
              <w:rPr>
                <w:rFonts w:hint="eastAsia" w:hAnsi="宋体"/>
                <w:color w:val="000000"/>
                <w:sz w:val="21"/>
              </w:rPr>
            </w:pPr>
            <w:r>
              <w:rPr>
                <w:rFonts w:hint="eastAsia" w:hAnsi="宋体"/>
                <w:color w:val="000000"/>
                <w:sz w:val="21"/>
              </w:rPr>
              <w:t>业绩情况</w:t>
            </w:r>
          </w:p>
          <w:p w14:paraId="5C6DAD99">
            <w:pPr>
              <w:pStyle w:val="14"/>
              <w:numPr>
                <w:ilvl w:val="0"/>
                <w:numId w:val="4"/>
              </w:numPr>
              <w:ind w:left="0" w:firstLine="0"/>
              <w:rPr>
                <w:rFonts w:hint="eastAsia" w:hAnsi="宋体"/>
                <w:color w:val="000000"/>
                <w:sz w:val="21"/>
              </w:rPr>
            </w:pPr>
            <w:r>
              <w:rPr>
                <w:rFonts w:hint="eastAsia" w:hAnsi="宋体"/>
                <w:color w:val="000000"/>
                <w:sz w:val="21"/>
              </w:rPr>
              <w:t>资质情况</w:t>
            </w:r>
          </w:p>
          <w:p w14:paraId="42683123">
            <w:pPr>
              <w:pStyle w:val="14"/>
              <w:numPr>
                <w:ilvl w:val="0"/>
                <w:numId w:val="4"/>
              </w:numPr>
              <w:ind w:left="0" w:firstLine="0"/>
              <w:rPr>
                <w:rFonts w:hint="eastAsia" w:hAnsi="宋体"/>
                <w:color w:val="000000"/>
                <w:szCs w:val="20"/>
              </w:rPr>
            </w:pPr>
            <w:r>
              <w:rPr>
                <w:rFonts w:hint="eastAsia" w:hAnsi="宋体"/>
                <w:color w:val="000000"/>
                <w:sz w:val="21"/>
              </w:rPr>
              <w:t>投标人认为需要提供的其他商务资料</w:t>
            </w:r>
          </w:p>
        </w:tc>
      </w:tr>
      <w:tr w14:paraId="2118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1178FB90">
            <w:pPr>
              <w:jc w:val="center"/>
              <w:rPr>
                <w:rFonts w:hint="eastAsia" w:ascii="宋体" w:hAnsi="宋体"/>
                <w:b/>
                <w:color w:val="000000"/>
                <w:szCs w:val="28"/>
              </w:rPr>
            </w:pPr>
            <w:r>
              <w:rPr>
                <w:rFonts w:hint="eastAsia" w:ascii="宋体" w:hAnsi="宋体"/>
                <w:b/>
                <w:color w:val="000000"/>
                <w:szCs w:val="28"/>
              </w:rPr>
              <w:t>4</w:t>
            </w:r>
          </w:p>
        </w:tc>
        <w:tc>
          <w:tcPr>
            <w:tcW w:w="2386" w:type="dxa"/>
            <w:tcBorders>
              <w:top w:val="single" w:color="auto" w:sz="4" w:space="0"/>
              <w:left w:val="single" w:color="auto" w:sz="4" w:space="0"/>
              <w:bottom w:val="single" w:color="auto" w:sz="4" w:space="0"/>
              <w:right w:val="single" w:color="auto" w:sz="4" w:space="0"/>
            </w:tcBorders>
            <w:vAlign w:val="center"/>
          </w:tcPr>
          <w:p w14:paraId="012456D8">
            <w:pPr>
              <w:jc w:val="center"/>
              <w:rPr>
                <w:rFonts w:hint="eastAsia" w:ascii="宋体" w:hAnsi="宋体" w:cs="宋体"/>
                <w:b/>
                <w:bCs/>
                <w:color w:val="000000"/>
                <w:kern w:val="0"/>
                <w:szCs w:val="28"/>
              </w:rPr>
            </w:pPr>
            <w:r>
              <w:rPr>
                <w:rFonts w:hint="eastAsia" w:ascii="宋体" w:hAnsi="宋体" w:cs="宋体"/>
                <w:b/>
                <w:bCs/>
                <w:color w:val="000000"/>
                <w:kern w:val="0"/>
                <w:szCs w:val="28"/>
              </w:rPr>
              <w:t>投标人应提交的技术及服务文件（5.3技术及服务部分编制格式）</w:t>
            </w:r>
          </w:p>
        </w:tc>
        <w:tc>
          <w:tcPr>
            <w:tcW w:w="5810" w:type="dxa"/>
            <w:tcBorders>
              <w:top w:val="single" w:color="auto" w:sz="4" w:space="0"/>
              <w:left w:val="single" w:color="auto" w:sz="4" w:space="0"/>
              <w:bottom w:val="single" w:color="auto" w:sz="4" w:space="0"/>
              <w:right w:val="single" w:color="auto" w:sz="4" w:space="0"/>
            </w:tcBorders>
            <w:vAlign w:val="center"/>
          </w:tcPr>
          <w:p w14:paraId="75E71B3C">
            <w:pPr>
              <w:widowControl/>
              <w:shd w:val="clear" w:color="auto" w:fill="FFFFFF"/>
              <w:rPr>
                <w:rFonts w:hint="eastAsia" w:ascii="宋体" w:hAnsi="宋体" w:cs="宋体"/>
                <w:b/>
                <w:color w:val="000000"/>
                <w:u w:val="single"/>
              </w:rPr>
            </w:pPr>
            <w:r>
              <w:rPr>
                <w:rStyle w:val="31"/>
                <w:rFonts w:hint="eastAsia" w:ascii="宋体" w:hAnsi="宋体" w:cs="宋体"/>
                <w:b/>
                <w:color w:val="000000"/>
              </w:rPr>
              <w:t>特别提示：以下加*项目若有缺失或无效，将不允许在开标后补正且可能导致投标被拒绝。</w:t>
            </w:r>
          </w:p>
          <w:p w14:paraId="4EE9BEF7">
            <w:pPr>
              <w:pStyle w:val="14"/>
              <w:numPr>
                <w:ilvl w:val="0"/>
                <w:numId w:val="5"/>
              </w:numPr>
              <w:ind w:left="0" w:firstLine="0"/>
              <w:rPr>
                <w:rFonts w:hint="eastAsia" w:hAnsi="宋体"/>
                <w:color w:val="000000"/>
                <w:sz w:val="21"/>
              </w:rPr>
            </w:pPr>
            <w:r>
              <w:rPr>
                <w:rFonts w:hint="eastAsia" w:hAnsi="宋体"/>
                <w:color w:val="000000"/>
                <w:sz w:val="21"/>
              </w:rPr>
              <w:t>*开标一览表（投标现场需提供两份单独密封于一个信封内并注明“开标一览表”；投标文件正副本中相应位置同时提供）</w:t>
            </w:r>
          </w:p>
          <w:p w14:paraId="7996DD16">
            <w:pPr>
              <w:pStyle w:val="14"/>
              <w:numPr>
                <w:ilvl w:val="0"/>
                <w:numId w:val="5"/>
              </w:numPr>
              <w:ind w:left="0" w:firstLine="0"/>
              <w:rPr>
                <w:rFonts w:hint="eastAsia" w:hAnsi="宋体"/>
                <w:color w:val="000000"/>
                <w:sz w:val="21"/>
              </w:rPr>
            </w:pPr>
            <w:r>
              <w:rPr>
                <w:rFonts w:hint="eastAsia" w:hAnsi="宋体"/>
                <w:color w:val="000000"/>
                <w:sz w:val="21"/>
              </w:rPr>
              <w:t>*服务承诺逐项应答表</w:t>
            </w:r>
            <w:r>
              <w:rPr>
                <w:rFonts w:hint="eastAsia"/>
                <w:color w:val="000000"/>
                <w:sz w:val="21"/>
              </w:rPr>
              <w:t>（按照服务承诺表中的内容逐项应答，其中关键服务指标（*项）存在缺失、不满足或负偏离的，投标将被拒绝）</w:t>
            </w:r>
          </w:p>
          <w:p w14:paraId="61BAE019">
            <w:pPr>
              <w:pStyle w:val="14"/>
              <w:numPr>
                <w:ilvl w:val="0"/>
                <w:numId w:val="5"/>
              </w:numPr>
              <w:ind w:left="0" w:firstLine="0"/>
              <w:rPr>
                <w:rFonts w:hint="eastAsia" w:hAnsi="宋体"/>
                <w:color w:val="000000"/>
                <w:sz w:val="21"/>
              </w:rPr>
            </w:pPr>
            <w:r>
              <w:rPr>
                <w:rFonts w:hint="eastAsia"/>
                <w:color w:val="000000"/>
                <w:sz w:val="21"/>
              </w:rPr>
              <w:t>服务方案</w:t>
            </w:r>
          </w:p>
          <w:p w14:paraId="342BD270">
            <w:pPr>
              <w:pStyle w:val="14"/>
              <w:numPr>
                <w:ilvl w:val="0"/>
                <w:numId w:val="5"/>
              </w:numPr>
              <w:ind w:left="0" w:firstLine="0"/>
              <w:rPr>
                <w:rFonts w:hint="eastAsia" w:hAnsi="宋体"/>
                <w:color w:val="000000"/>
                <w:sz w:val="21"/>
              </w:rPr>
            </w:pPr>
            <w:r>
              <w:rPr>
                <w:rFonts w:hint="eastAsia" w:hAnsi="宋体" w:cs="宋体"/>
                <w:color w:val="000000"/>
                <w:sz w:val="21"/>
              </w:rPr>
              <w:t>食品卫生安全保障、食品健康、厨房设施设备维护保养、水电气节约措施、反食品浪费、垃圾处理、项目保障等保障措施方案</w:t>
            </w:r>
          </w:p>
          <w:p w14:paraId="1299ABCD">
            <w:pPr>
              <w:pStyle w:val="14"/>
              <w:numPr>
                <w:ilvl w:val="0"/>
                <w:numId w:val="5"/>
              </w:numPr>
              <w:ind w:left="0" w:firstLine="0"/>
              <w:rPr>
                <w:rFonts w:hint="eastAsia" w:hAnsi="宋体"/>
                <w:color w:val="000000"/>
                <w:sz w:val="21"/>
              </w:rPr>
            </w:pPr>
            <w:r>
              <w:rPr>
                <w:rFonts w:hint="eastAsia"/>
                <w:color w:val="000000"/>
                <w:sz w:val="21"/>
              </w:rPr>
              <w:t>人员管理和服务团队方案</w:t>
            </w:r>
          </w:p>
          <w:p w14:paraId="6EA28669">
            <w:pPr>
              <w:pStyle w:val="14"/>
              <w:numPr>
                <w:ilvl w:val="0"/>
                <w:numId w:val="5"/>
              </w:numPr>
              <w:ind w:left="0" w:firstLine="0"/>
              <w:rPr>
                <w:rFonts w:hint="eastAsia" w:hAnsi="宋体"/>
                <w:color w:val="000000"/>
                <w:sz w:val="21"/>
              </w:rPr>
            </w:pPr>
            <w:r>
              <w:rPr>
                <w:rFonts w:hint="eastAsia"/>
                <w:color w:val="000000"/>
                <w:sz w:val="21"/>
              </w:rPr>
              <w:t>原材料采购及价格控制方案</w:t>
            </w:r>
          </w:p>
          <w:p w14:paraId="32282429">
            <w:pPr>
              <w:pStyle w:val="14"/>
              <w:numPr>
                <w:ilvl w:val="0"/>
                <w:numId w:val="5"/>
              </w:numPr>
              <w:ind w:left="0" w:firstLine="0"/>
              <w:rPr>
                <w:rFonts w:hint="eastAsia" w:hAnsi="宋体"/>
                <w:color w:val="000000"/>
                <w:sz w:val="21"/>
              </w:rPr>
            </w:pPr>
            <w:r>
              <w:rPr>
                <w:rFonts w:hint="eastAsia"/>
                <w:color w:val="000000"/>
                <w:sz w:val="21"/>
              </w:rPr>
              <w:t>应急预案方案</w:t>
            </w:r>
          </w:p>
          <w:p w14:paraId="50E54DE5">
            <w:pPr>
              <w:pStyle w:val="14"/>
              <w:numPr>
                <w:ilvl w:val="0"/>
                <w:numId w:val="5"/>
              </w:numPr>
              <w:ind w:left="0" w:firstLine="0"/>
              <w:rPr>
                <w:rFonts w:hint="eastAsia" w:hAnsi="宋体"/>
                <w:color w:val="000000"/>
                <w:sz w:val="21"/>
              </w:rPr>
            </w:pPr>
            <w:r>
              <w:rPr>
                <w:rFonts w:hint="eastAsia"/>
                <w:color w:val="000000"/>
                <w:sz w:val="21"/>
              </w:rPr>
              <w:t>相关负责人（项目经理、厨师长、前厅经理）</w:t>
            </w:r>
          </w:p>
          <w:p w14:paraId="7931039E">
            <w:pPr>
              <w:pStyle w:val="14"/>
              <w:numPr>
                <w:ilvl w:val="0"/>
                <w:numId w:val="5"/>
              </w:numPr>
              <w:ind w:left="0" w:firstLine="0"/>
              <w:rPr>
                <w:rFonts w:hint="eastAsia" w:hAnsi="宋体"/>
                <w:color w:val="000000"/>
                <w:szCs w:val="20"/>
              </w:rPr>
            </w:pPr>
            <w:r>
              <w:rPr>
                <w:rFonts w:hint="eastAsia"/>
                <w:color w:val="000000"/>
                <w:sz w:val="21"/>
              </w:rPr>
              <w:t>增值服务方案</w:t>
            </w:r>
          </w:p>
        </w:tc>
      </w:tr>
      <w:tr w14:paraId="233D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49BD1690">
            <w:pPr>
              <w:jc w:val="center"/>
              <w:rPr>
                <w:rFonts w:hint="eastAsia" w:ascii="宋体" w:hAnsi="宋体"/>
                <w:b/>
                <w:color w:val="000000"/>
                <w:szCs w:val="28"/>
              </w:rPr>
            </w:pPr>
            <w:r>
              <w:rPr>
                <w:rFonts w:hint="eastAsia" w:ascii="宋体" w:hAnsi="宋体"/>
                <w:b/>
                <w:color w:val="000000"/>
                <w:szCs w:val="28"/>
              </w:rPr>
              <w:t>5</w:t>
            </w:r>
          </w:p>
        </w:tc>
        <w:tc>
          <w:tcPr>
            <w:tcW w:w="2386" w:type="dxa"/>
            <w:tcBorders>
              <w:top w:val="single" w:color="auto" w:sz="4" w:space="0"/>
              <w:left w:val="single" w:color="auto" w:sz="4" w:space="0"/>
              <w:bottom w:val="single" w:color="auto" w:sz="4" w:space="0"/>
              <w:right w:val="single" w:color="auto" w:sz="4" w:space="0"/>
            </w:tcBorders>
            <w:vAlign w:val="center"/>
          </w:tcPr>
          <w:p w14:paraId="09541D2F">
            <w:pPr>
              <w:jc w:val="center"/>
              <w:rPr>
                <w:rFonts w:hint="eastAsia" w:ascii="宋体" w:hAnsi="宋体" w:cs="宋体"/>
                <w:b/>
                <w:bCs/>
                <w:color w:val="000000"/>
                <w:kern w:val="0"/>
                <w:szCs w:val="28"/>
              </w:rPr>
            </w:pPr>
            <w:r>
              <w:rPr>
                <w:rFonts w:hint="eastAsia" w:ascii="宋体" w:hAnsi="宋体" w:cs="宋体"/>
                <w:b/>
                <w:bCs/>
                <w:color w:val="000000"/>
                <w:kern w:val="0"/>
                <w:szCs w:val="28"/>
              </w:rPr>
              <w:t>投标保证金</w:t>
            </w:r>
          </w:p>
        </w:tc>
        <w:tc>
          <w:tcPr>
            <w:tcW w:w="5810" w:type="dxa"/>
            <w:tcBorders>
              <w:top w:val="single" w:color="auto" w:sz="4" w:space="0"/>
              <w:left w:val="single" w:color="auto" w:sz="4" w:space="0"/>
              <w:bottom w:val="single" w:color="auto" w:sz="4" w:space="0"/>
              <w:right w:val="single" w:color="auto" w:sz="4" w:space="0"/>
            </w:tcBorders>
            <w:vAlign w:val="center"/>
          </w:tcPr>
          <w:p w14:paraId="31CBC39D">
            <w:pPr>
              <w:pStyle w:val="60"/>
              <w:spacing w:before="0" w:after="0" w:line="240" w:lineRule="auto"/>
              <w:ind w:left="0"/>
              <w:jc w:val="both"/>
              <w:rPr>
                <w:rFonts w:hint="eastAsia"/>
              </w:rPr>
            </w:pPr>
            <w:bookmarkStart w:id="4" w:name="_Toc26198"/>
            <w:bookmarkStart w:id="5" w:name="_Toc13012"/>
            <w:r>
              <w:rPr>
                <w:rFonts w:hint="eastAsia"/>
              </w:rPr>
              <w:t>投标人应以银行转账方式提供投标保证金</w:t>
            </w:r>
            <w:r>
              <w:rPr>
                <w:rFonts w:hint="eastAsia"/>
                <w:lang w:val="en-US" w:eastAsia="zh-CN"/>
              </w:rPr>
              <w:t>3</w:t>
            </w:r>
            <w:r>
              <w:rPr>
                <w:rFonts w:hint="eastAsia"/>
              </w:rPr>
              <w:t>万元。</w:t>
            </w:r>
            <w:bookmarkEnd w:id="4"/>
          </w:p>
          <w:p w14:paraId="3D8FC9A9">
            <w:pPr>
              <w:pStyle w:val="60"/>
              <w:spacing w:before="0" w:after="0" w:line="240" w:lineRule="auto"/>
              <w:ind w:left="0"/>
              <w:jc w:val="both"/>
              <w:rPr>
                <w:rFonts w:hint="eastAsia"/>
                <w:szCs w:val="21"/>
              </w:rPr>
            </w:pPr>
            <w:bookmarkStart w:id="6" w:name="_Toc5802"/>
            <w:r>
              <w:rPr>
                <w:rFonts w:hint="eastAsia"/>
              </w:rPr>
              <w:t>投标保证金应当于投标截止时间前汇入招标代理机构指定银行账户。（具体账户信息见招标文件</w:t>
            </w:r>
            <w:r>
              <w:t>5.2.</w:t>
            </w:r>
            <w:r>
              <w:rPr>
                <w:rFonts w:hint="eastAsia"/>
              </w:rPr>
              <w:t>9</w:t>
            </w:r>
            <w:r>
              <w:t>）</w:t>
            </w:r>
            <w:bookmarkEnd w:id="5"/>
            <w:bookmarkEnd w:id="6"/>
          </w:p>
        </w:tc>
      </w:tr>
      <w:tr w14:paraId="7A37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512D5242">
            <w:pPr>
              <w:jc w:val="center"/>
              <w:rPr>
                <w:rFonts w:hint="eastAsia" w:ascii="宋体" w:hAnsi="宋体"/>
                <w:b/>
                <w:color w:val="000000"/>
                <w:szCs w:val="28"/>
              </w:rPr>
            </w:pPr>
            <w:r>
              <w:rPr>
                <w:rFonts w:hint="eastAsia" w:ascii="宋体" w:hAnsi="宋体"/>
                <w:b/>
                <w:color w:val="000000"/>
                <w:szCs w:val="28"/>
              </w:rPr>
              <w:t>6</w:t>
            </w:r>
          </w:p>
        </w:tc>
        <w:tc>
          <w:tcPr>
            <w:tcW w:w="2386" w:type="dxa"/>
            <w:tcBorders>
              <w:top w:val="single" w:color="auto" w:sz="4" w:space="0"/>
              <w:left w:val="single" w:color="auto" w:sz="4" w:space="0"/>
              <w:bottom w:val="single" w:color="auto" w:sz="4" w:space="0"/>
              <w:right w:val="single" w:color="auto" w:sz="4" w:space="0"/>
            </w:tcBorders>
            <w:vAlign w:val="center"/>
          </w:tcPr>
          <w:p w14:paraId="3CE5DE3A">
            <w:pPr>
              <w:jc w:val="center"/>
              <w:rPr>
                <w:rFonts w:hint="eastAsia" w:ascii="宋体" w:hAnsi="宋体" w:cs="宋体"/>
                <w:b/>
                <w:bCs/>
                <w:color w:val="000000"/>
                <w:kern w:val="0"/>
                <w:szCs w:val="28"/>
              </w:rPr>
            </w:pPr>
            <w:r>
              <w:rPr>
                <w:rFonts w:hint="eastAsia" w:ascii="宋体" w:hAnsi="宋体" w:cs="宋体"/>
                <w:b/>
                <w:bCs/>
                <w:color w:val="000000"/>
                <w:kern w:val="0"/>
                <w:szCs w:val="28"/>
              </w:rPr>
              <w:t>是否允许投标人将项目相关工作交由他人完成</w:t>
            </w:r>
          </w:p>
        </w:tc>
        <w:tc>
          <w:tcPr>
            <w:tcW w:w="5810" w:type="dxa"/>
            <w:tcBorders>
              <w:top w:val="single" w:color="auto" w:sz="4" w:space="0"/>
              <w:left w:val="single" w:color="auto" w:sz="4" w:space="0"/>
              <w:bottom w:val="single" w:color="auto" w:sz="4" w:space="0"/>
              <w:right w:val="single" w:color="auto" w:sz="4" w:space="0"/>
            </w:tcBorders>
            <w:vAlign w:val="center"/>
          </w:tcPr>
          <w:p w14:paraId="1A2597C5">
            <w:pPr>
              <w:pStyle w:val="60"/>
              <w:keepNext w:val="0"/>
              <w:keepLines w:val="0"/>
              <w:spacing w:before="0" w:after="0" w:line="240" w:lineRule="auto"/>
              <w:ind w:left="0"/>
              <w:jc w:val="both"/>
              <w:rPr>
                <w:rFonts w:hint="eastAsia"/>
                <w:szCs w:val="21"/>
              </w:rPr>
            </w:pPr>
            <w:bookmarkStart w:id="7" w:name="_Toc6116"/>
            <w:bookmarkStart w:id="8" w:name="_Toc1949"/>
            <w:bookmarkStart w:id="9" w:name="_Toc19225"/>
            <w:r>
              <w:rPr>
                <w:rFonts w:hint="eastAsia"/>
                <w:szCs w:val="21"/>
              </w:rPr>
              <w:t>否</w:t>
            </w:r>
            <w:bookmarkEnd w:id="7"/>
            <w:bookmarkEnd w:id="8"/>
            <w:bookmarkEnd w:id="9"/>
          </w:p>
        </w:tc>
      </w:tr>
      <w:tr w14:paraId="6EC2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607DF55A">
            <w:pPr>
              <w:jc w:val="center"/>
              <w:rPr>
                <w:rFonts w:hint="eastAsia" w:ascii="宋体" w:hAnsi="宋体"/>
                <w:b/>
                <w:color w:val="000000"/>
                <w:szCs w:val="28"/>
              </w:rPr>
            </w:pPr>
            <w:r>
              <w:rPr>
                <w:rFonts w:hint="eastAsia" w:ascii="宋体" w:hAnsi="宋体"/>
                <w:b/>
                <w:color w:val="000000"/>
                <w:szCs w:val="28"/>
              </w:rPr>
              <w:t>7</w:t>
            </w:r>
          </w:p>
        </w:tc>
        <w:tc>
          <w:tcPr>
            <w:tcW w:w="2386" w:type="dxa"/>
            <w:tcBorders>
              <w:top w:val="single" w:color="auto" w:sz="4" w:space="0"/>
              <w:left w:val="single" w:color="auto" w:sz="4" w:space="0"/>
              <w:bottom w:val="single" w:color="auto" w:sz="4" w:space="0"/>
              <w:right w:val="single" w:color="auto" w:sz="4" w:space="0"/>
            </w:tcBorders>
            <w:vAlign w:val="center"/>
          </w:tcPr>
          <w:p w14:paraId="145AA9A3">
            <w:pPr>
              <w:jc w:val="center"/>
              <w:rPr>
                <w:rFonts w:hint="eastAsia" w:ascii="宋体" w:hAnsi="宋体" w:cs="宋体"/>
                <w:b/>
                <w:bCs/>
                <w:color w:val="000000"/>
                <w:kern w:val="0"/>
                <w:szCs w:val="28"/>
              </w:rPr>
            </w:pPr>
            <w:r>
              <w:rPr>
                <w:rFonts w:hint="eastAsia" w:ascii="宋体" w:hAnsi="宋体" w:cs="宋体"/>
                <w:b/>
                <w:bCs/>
                <w:color w:val="000000"/>
                <w:kern w:val="0"/>
                <w:szCs w:val="28"/>
              </w:rPr>
              <w:t>投标有效期</w:t>
            </w:r>
          </w:p>
        </w:tc>
        <w:tc>
          <w:tcPr>
            <w:tcW w:w="5810" w:type="dxa"/>
            <w:tcBorders>
              <w:top w:val="single" w:color="auto" w:sz="4" w:space="0"/>
              <w:left w:val="single" w:color="auto" w:sz="4" w:space="0"/>
              <w:bottom w:val="single" w:color="auto" w:sz="4" w:space="0"/>
              <w:right w:val="single" w:color="auto" w:sz="4" w:space="0"/>
            </w:tcBorders>
            <w:vAlign w:val="center"/>
          </w:tcPr>
          <w:p w14:paraId="6DBAD729">
            <w:pPr>
              <w:pStyle w:val="60"/>
              <w:keepNext w:val="0"/>
              <w:keepLines w:val="0"/>
              <w:spacing w:before="0" w:after="0" w:line="240" w:lineRule="auto"/>
              <w:ind w:left="0"/>
              <w:jc w:val="both"/>
              <w:rPr>
                <w:rFonts w:hint="eastAsia"/>
                <w:szCs w:val="21"/>
              </w:rPr>
            </w:pPr>
            <w:bookmarkStart w:id="10" w:name="_Toc3398"/>
            <w:bookmarkStart w:id="11" w:name="_Toc14402"/>
            <w:bookmarkStart w:id="12" w:name="_Toc16586"/>
            <w:r>
              <w:rPr>
                <w:rStyle w:val="32"/>
              </w:rPr>
              <w:t>180</w:t>
            </w:r>
            <w:r>
              <w:rPr>
                <w:rFonts w:hint="eastAsia"/>
                <w:szCs w:val="21"/>
              </w:rPr>
              <w:t>日历天（从开标日起计算）</w:t>
            </w:r>
            <w:bookmarkEnd w:id="10"/>
            <w:bookmarkEnd w:id="11"/>
            <w:bookmarkEnd w:id="12"/>
          </w:p>
        </w:tc>
      </w:tr>
      <w:tr w14:paraId="23DF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14:paraId="39A1BF44">
            <w:pPr>
              <w:jc w:val="center"/>
              <w:rPr>
                <w:rFonts w:hint="eastAsia" w:ascii="宋体" w:hAnsi="宋体"/>
                <w:b/>
                <w:color w:val="000000"/>
                <w:szCs w:val="28"/>
              </w:rPr>
            </w:pPr>
            <w:r>
              <w:rPr>
                <w:rFonts w:hint="eastAsia" w:ascii="宋体" w:hAnsi="宋体"/>
                <w:b/>
                <w:color w:val="000000"/>
                <w:szCs w:val="28"/>
              </w:rPr>
              <w:t>8</w:t>
            </w:r>
          </w:p>
        </w:tc>
        <w:tc>
          <w:tcPr>
            <w:tcW w:w="2386" w:type="dxa"/>
            <w:tcBorders>
              <w:top w:val="single" w:color="auto" w:sz="4" w:space="0"/>
              <w:left w:val="single" w:color="auto" w:sz="4" w:space="0"/>
              <w:bottom w:val="single" w:color="auto" w:sz="4" w:space="0"/>
              <w:right w:val="single" w:color="auto" w:sz="4" w:space="0"/>
            </w:tcBorders>
            <w:vAlign w:val="center"/>
          </w:tcPr>
          <w:p w14:paraId="57B5A2FB">
            <w:pPr>
              <w:jc w:val="center"/>
              <w:rPr>
                <w:rFonts w:hint="eastAsia" w:ascii="宋体" w:hAnsi="宋体" w:cs="宋体"/>
                <w:b/>
                <w:bCs/>
                <w:color w:val="000000"/>
                <w:kern w:val="0"/>
                <w:szCs w:val="28"/>
              </w:rPr>
            </w:pPr>
            <w:r>
              <w:rPr>
                <w:rFonts w:hint="eastAsia" w:ascii="宋体" w:hAnsi="宋体" w:cs="宋体"/>
                <w:b/>
                <w:bCs/>
                <w:color w:val="000000"/>
                <w:kern w:val="0"/>
                <w:szCs w:val="21"/>
              </w:rPr>
              <w:t>投标文件份数</w:t>
            </w:r>
          </w:p>
        </w:tc>
        <w:tc>
          <w:tcPr>
            <w:tcW w:w="5810" w:type="dxa"/>
            <w:tcBorders>
              <w:top w:val="single" w:color="auto" w:sz="4" w:space="0"/>
              <w:left w:val="single" w:color="auto" w:sz="4" w:space="0"/>
              <w:bottom w:val="single" w:color="auto" w:sz="4" w:space="0"/>
              <w:right w:val="single" w:color="auto" w:sz="4" w:space="0"/>
            </w:tcBorders>
            <w:vAlign w:val="center"/>
          </w:tcPr>
          <w:p w14:paraId="7F35FFEB">
            <w:pPr>
              <w:rPr>
                <w:rFonts w:hint="eastAsia" w:ascii="宋体" w:hAnsi="宋体"/>
                <w:color w:val="000000"/>
                <w:szCs w:val="21"/>
              </w:rPr>
            </w:pPr>
            <w:r>
              <w:rPr>
                <w:rFonts w:hint="eastAsia" w:ascii="宋体" w:hAnsi="宋体"/>
                <w:color w:val="000000"/>
                <w:szCs w:val="21"/>
              </w:rPr>
              <w:t>1. 投标文件一式</w:t>
            </w:r>
            <w:r>
              <w:rPr>
                <w:rFonts w:hint="eastAsia" w:ascii="宋体" w:hAnsi="宋体"/>
                <w:color w:val="000000"/>
                <w:szCs w:val="21"/>
                <w:u w:val="single"/>
                <w:lang w:val="en-US" w:eastAsia="zh-CN"/>
              </w:rPr>
              <w:t>5</w:t>
            </w:r>
            <w:r>
              <w:rPr>
                <w:rFonts w:hint="eastAsia" w:ascii="宋体" w:hAnsi="宋体"/>
                <w:color w:val="000000"/>
                <w:szCs w:val="21"/>
              </w:rPr>
              <w:t>份，其中正本</w:t>
            </w:r>
            <w:r>
              <w:rPr>
                <w:rFonts w:hint="eastAsia" w:ascii="宋体" w:hAnsi="宋体"/>
                <w:color w:val="000000"/>
                <w:szCs w:val="21"/>
                <w:u w:val="single"/>
              </w:rPr>
              <w:t>1</w:t>
            </w:r>
            <w:r>
              <w:rPr>
                <w:rFonts w:hint="eastAsia" w:ascii="宋体" w:hAnsi="宋体"/>
                <w:color w:val="000000"/>
                <w:szCs w:val="21"/>
              </w:rPr>
              <w:t>份，副本</w:t>
            </w:r>
            <w:r>
              <w:rPr>
                <w:rFonts w:hint="eastAsia" w:ascii="宋体" w:hAnsi="宋体"/>
                <w:color w:val="000000"/>
                <w:szCs w:val="21"/>
                <w:u w:val="single"/>
                <w:lang w:val="en-US" w:eastAsia="zh-CN"/>
              </w:rPr>
              <w:t>4</w:t>
            </w:r>
            <w:r>
              <w:rPr>
                <w:rFonts w:hint="eastAsia" w:ascii="宋体" w:hAnsi="宋体"/>
                <w:color w:val="000000"/>
                <w:szCs w:val="21"/>
              </w:rPr>
              <w:t>份。</w:t>
            </w:r>
          </w:p>
          <w:p w14:paraId="2C4CECF5">
            <w:pPr>
              <w:rPr>
                <w:rFonts w:hint="eastAsia" w:ascii="宋体" w:hAnsi="宋体"/>
                <w:color w:val="000000"/>
                <w:szCs w:val="21"/>
              </w:rPr>
            </w:pPr>
            <w:r>
              <w:rPr>
                <w:rFonts w:hint="eastAsia" w:ascii="宋体" w:hAnsi="宋体"/>
                <w:color w:val="000000"/>
                <w:szCs w:val="21"/>
              </w:rPr>
              <w:t>2. 投标数据包：投标人应按照招标文件的格式要求填报投标文件的相应数据及内容，填报完成后扫描投标文件正本（扩展名为“.PDF”），并将扫描件存于</w:t>
            </w:r>
            <w:r>
              <w:rPr>
                <w:rFonts w:hint="eastAsia" w:ascii="宋体" w:hAnsi="宋体"/>
                <w:color w:val="000000"/>
                <w:szCs w:val="21"/>
                <w:u w:val="single"/>
              </w:rPr>
              <w:t>1</w:t>
            </w:r>
            <w:r>
              <w:rPr>
                <w:rFonts w:hint="eastAsia" w:ascii="宋体" w:hAnsi="宋体"/>
                <w:color w:val="000000"/>
                <w:szCs w:val="21"/>
              </w:rPr>
              <w:t>个U盘于投标现场提交。</w:t>
            </w:r>
          </w:p>
          <w:p w14:paraId="1302EE22">
            <w:pPr>
              <w:rPr>
                <w:rFonts w:hint="eastAsia" w:ascii="宋体" w:hAnsi="宋体" w:cs="宋体"/>
                <w:color w:val="000000"/>
                <w:szCs w:val="21"/>
              </w:rPr>
            </w:pPr>
            <w:r>
              <w:rPr>
                <w:rFonts w:hint="eastAsia" w:ascii="宋体" w:hAnsi="宋体" w:cs="宋体"/>
                <w:color w:val="000000"/>
                <w:szCs w:val="21"/>
              </w:rPr>
              <w:t>3. 开标一览表正本（在投标现场提供两份，应当一同单独密封于一个信封内并注明“开标一览表”字样；在投标文件正副本中另行提供）</w:t>
            </w:r>
            <w:r>
              <w:rPr>
                <w:rFonts w:hint="eastAsia" w:ascii="宋体" w:hAnsi="宋体" w:cs="宋体"/>
                <w:bCs/>
                <w:color w:val="000000"/>
                <w:szCs w:val="21"/>
              </w:rPr>
              <w:t>。</w:t>
            </w:r>
          </w:p>
          <w:p w14:paraId="79E5AC66">
            <w:pPr>
              <w:rPr>
                <w:rFonts w:hint="eastAsia" w:ascii="宋体" w:hAnsi="宋体" w:cs="宋体"/>
                <w:color w:val="000000"/>
                <w:szCs w:val="21"/>
              </w:rPr>
            </w:pPr>
            <w:r>
              <w:rPr>
                <w:rFonts w:hint="eastAsia" w:ascii="宋体" w:hAnsi="宋体" w:cs="宋体"/>
                <w:color w:val="000000"/>
                <w:szCs w:val="21"/>
              </w:rPr>
              <w:t>4. 加盖公章的保证金银行汇款回单复印件单独密封（需单独密封并在投标现场提供，投标文件中可以提供复印件加盖公章）。</w:t>
            </w:r>
          </w:p>
          <w:p w14:paraId="4E97C59A">
            <w:pPr>
              <w:rPr>
                <w:color w:val="000000"/>
              </w:rPr>
            </w:pPr>
            <w:r>
              <w:rPr>
                <w:rFonts w:hint="eastAsia" w:ascii="宋体" w:hAnsi="宋体" w:cs="宋体"/>
                <w:b w:val="0"/>
                <w:bCs/>
                <w:color w:val="000000"/>
                <w:szCs w:val="21"/>
              </w:rPr>
              <w:t>5. 投标人应设计包装，使其适于搬运。</w:t>
            </w:r>
          </w:p>
        </w:tc>
      </w:tr>
    </w:tbl>
    <w:p w14:paraId="0CB8E6DD">
      <w:pPr>
        <w:pStyle w:val="4"/>
        <w:rPr>
          <w:rFonts w:hint="eastAsia" w:eastAsia="宋体"/>
          <w:color w:val="000000"/>
        </w:rPr>
      </w:pPr>
      <w:r>
        <w:rPr>
          <w:rFonts w:hint="eastAsia" w:eastAsia="宋体"/>
          <w:color w:val="000000"/>
        </w:rPr>
        <w:t>2.1.1 目的</w:t>
      </w:r>
    </w:p>
    <w:p w14:paraId="703A8180">
      <w:pPr>
        <w:spacing w:line="360" w:lineRule="auto"/>
        <w:ind w:firstLine="420"/>
        <w:rPr>
          <w:color w:val="000000"/>
        </w:rPr>
      </w:pPr>
      <w:r>
        <w:rPr>
          <w:rFonts w:hint="eastAsia"/>
          <w:color w:val="000000"/>
        </w:rPr>
        <w:t>本招标文件的目的是为了帮助投标人能够提交出针对</w:t>
      </w:r>
      <w:r>
        <w:rPr>
          <w:rFonts w:hint="eastAsia"/>
          <w:color w:val="000000"/>
          <w:lang w:val="en-US" w:eastAsia="zh-CN"/>
        </w:rPr>
        <w:t>中国机械总院</w:t>
      </w:r>
      <w:r>
        <w:rPr>
          <w:rFonts w:hint="eastAsia"/>
          <w:color w:val="000000"/>
        </w:rPr>
        <w:t>餐饮服务商公开招标项目的投标文件，并统一规范其格式及内容。</w:t>
      </w:r>
    </w:p>
    <w:p w14:paraId="1A7108CE">
      <w:pPr>
        <w:spacing w:line="360" w:lineRule="auto"/>
        <w:ind w:firstLine="420"/>
        <w:rPr>
          <w:color w:val="000000"/>
        </w:rPr>
      </w:pPr>
      <w:r>
        <w:rPr>
          <w:rFonts w:hint="eastAsia"/>
          <w:color w:val="000000"/>
        </w:rPr>
        <w:t>本招标文件的最终解释权属于</w:t>
      </w:r>
      <w:r>
        <w:rPr>
          <w:rFonts w:hint="eastAsia"/>
          <w:color w:val="000000"/>
          <w:lang w:val="en-US" w:eastAsia="zh-CN"/>
        </w:rPr>
        <w:t>中国机械科学研究总院集团有限公司</w:t>
      </w:r>
      <w:r>
        <w:rPr>
          <w:rFonts w:hint="eastAsia"/>
          <w:color w:val="000000"/>
        </w:rPr>
        <w:t>。</w:t>
      </w:r>
    </w:p>
    <w:p w14:paraId="64289E76">
      <w:pPr>
        <w:pStyle w:val="4"/>
        <w:rPr>
          <w:rFonts w:hint="eastAsia" w:eastAsia="宋体"/>
          <w:color w:val="000000"/>
        </w:rPr>
      </w:pPr>
      <w:r>
        <w:rPr>
          <w:rFonts w:hint="eastAsia" w:eastAsia="宋体"/>
          <w:color w:val="000000"/>
        </w:rPr>
        <w:t>2.1.2 适用范围</w:t>
      </w:r>
    </w:p>
    <w:p w14:paraId="5A9A82F0">
      <w:pPr>
        <w:spacing w:line="360" w:lineRule="auto"/>
        <w:ind w:firstLine="420"/>
        <w:rPr>
          <w:color w:val="000000"/>
        </w:rPr>
      </w:pPr>
      <w:r>
        <w:rPr>
          <w:rFonts w:hint="eastAsia"/>
          <w:color w:val="000000"/>
        </w:rPr>
        <w:t>本招标文件仅适用于本次招标工作。</w:t>
      </w:r>
    </w:p>
    <w:p w14:paraId="3E0DA766">
      <w:pPr>
        <w:pStyle w:val="4"/>
        <w:rPr>
          <w:rFonts w:hint="eastAsia" w:eastAsia="宋体"/>
          <w:color w:val="000000"/>
        </w:rPr>
      </w:pPr>
      <w:r>
        <w:rPr>
          <w:rFonts w:hint="eastAsia" w:eastAsia="宋体"/>
          <w:color w:val="000000"/>
        </w:rPr>
        <w:t>2.1.3 名词解释</w:t>
      </w:r>
    </w:p>
    <w:p w14:paraId="61540300">
      <w:pPr>
        <w:spacing w:line="360" w:lineRule="auto"/>
        <w:ind w:firstLine="420"/>
        <w:rPr>
          <w:rFonts w:hint="eastAsia" w:ascii="宋体" w:hAnsi="宋体"/>
          <w:color w:val="000000"/>
        </w:rPr>
      </w:pPr>
      <w:r>
        <w:rPr>
          <w:rFonts w:ascii="宋体" w:hAnsi="宋体"/>
          <w:color w:val="000000"/>
        </w:rPr>
        <w:t>2.1.3.1</w:t>
      </w:r>
      <w:r>
        <w:rPr>
          <w:rFonts w:hint="eastAsia" w:ascii="宋体" w:hAnsi="宋体"/>
          <w:color w:val="000000"/>
        </w:rPr>
        <w:t>“招标人”，本项目中特指</w:t>
      </w:r>
      <w:r>
        <w:rPr>
          <w:rFonts w:hint="eastAsia"/>
          <w:color w:val="000000"/>
          <w:lang w:val="en-US" w:eastAsia="zh-CN"/>
        </w:rPr>
        <w:t>中国机械科学研究总院集团有限公司</w:t>
      </w:r>
      <w:r>
        <w:rPr>
          <w:rFonts w:hint="eastAsia" w:ascii="宋体" w:hAnsi="宋体"/>
          <w:color w:val="000000"/>
        </w:rPr>
        <w:t>；</w:t>
      </w:r>
    </w:p>
    <w:p w14:paraId="6302004E">
      <w:pPr>
        <w:spacing w:line="360" w:lineRule="auto"/>
        <w:ind w:firstLine="420"/>
        <w:rPr>
          <w:rFonts w:hint="eastAsia" w:ascii="宋体" w:hAnsi="宋体"/>
          <w:color w:val="000000"/>
        </w:rPr>
      </w:pPr>
      <w:r>
        <w:rPr>
          <w:rFonts w:ascii="宋体" w:hAnsi="宋体"/>
          <w:color w:val="000000"/>
        </w:rPr>
        <w:t>2.1.3.2</w:t>
      </w:r>
      <w:r>
        <w:rPr>
          <w:rFonts w:hint="eastAsia" w:ascii="宋体" w:hAnsi="宋体"/>
          <w:color w:val="000000"/>
        </w:rPr>
        <w:t>“投标人”，指领取了招标文件，或向招标人递交投标文件参与本项目的供应商；</w:t>
      </w:r>
    </w:p>
    <w:p w14:paraId="1F7F1785">
      <w:pPr>
        <w:spacing w:line="360" w:lineRule="auto"/>
        <w:ind w:firstLine="420"/>
        <w:rPr>
          <w:rFonts w:hint="eastAsia" w:ascii="宋体" w:hAnsi="宋体"/>
          <w:color w:val="000000"/>
        </w:rPr>
      </w:pPr>
      <w:r>
        <w:rPr>
          <w:rFonts w:ascii="宋体" w:hAnsi="宋体"/>
          <w:color w:val="000000"/>
        </w:rPr>
        <w:t>2.1.3.</w:t>
      </w:r>
      <w:r>
        <w:rPr>
          <w:rFonts w:hint="eastAsia" w:ascii="宋体" w:hAnsi="宋体"/>
          <w:color w:val="000000"/>
          <w:lang w:val="en-US" w:eastAsia="zh-CN"/>
        </w:rPr>
        <w:t>3</w:t>
      </w:r>
      <w:r>
        <w:rPr>
          <w:rFonts w:hint="eastAsia" w:ascii="宋体" w:hAnsi="宋体"/>
          <w:color w:val="000000"/>
        </w:rPr>
        <w:t>“中标人”，指被招标人确定为最终实施本项目的供应商；</w:t>
      </w:r>
    </w:p>
    <w:p w14:paraId="4E1CF336">
      <w:pPr>
        <w:spacing w:line="360" w:lineRule="auto"/>
        <w:ind w:firstLine="420"/>
        <w:rPr>
          <w:rFonts w:hint="eastAsia" w:ascii="宋体" w:hAnsi="宋体"/>
          <w:color w:val="000000"/>
        </w:rPr>
      </w:pPr>
      <w:r>
        <w:rPr>
          <w:rFonts w:ascii="宋体" w:hAnsi="宋体"/>
          <w:color w:val="000000"/>
        </w:rPr>
        <w:t>2.1.3.</w:t>
      </w:r>
      <w:r>
        <w:rPr>
          <w:rFonts w:hint="eastAsia" w:ascii="宋体" w:hAnsi="宋体"/>
          <w:color w:val="000000"/>
          <w:lang w:val="en-US" w:eastAsia="zh-CN"/>
        </w:rPr>
        <w:t>4</w:t>
      </w:r>
      <w:r>
        <w:rPr>
          <w:rFonts w:hint="eastAsia" w:ascii="宋体" w:hAnsi="宋体"/>
          <w:color w:val="000000"/>
        </w:rPr>
        <w:t>“招标文件”，指本文件；</w:t>
      </w:r>
    </w:p>
    <w:p w14:paraId="0C7EC510">
      <w:pPr>
        <w:spacing w:line="360" w:lineRule="auto"/>
        <w:ind w:firstLine="420"/>
        <w:rPr>
          <w:color w:val="000000"/>
        </w:rPr>
      </w:pPr>
      <w:r>
        <w:rPr>
          <w:rFonts w:ascii="宋体" w:hAnsi="宋体"/>
          <w:color w:val="000000"/>
        </w:rPr>
        <w:t>2.1.3.</w:t>
      </w:r>
      <w:r>
        <w:rPr>
          <w:rFonts w:hint="eastAsia" w:ascii="宋体" w:hAnsi="宋体"/>
          <w:color w:val="000000"/>
          <w:lang w:val="en-US" w:eastAsia="zh-CN"/>
        </w:rPr>
        <w:t>5</w:t>
      </w:r>
      <w:r>
        <w:rPr>
          <w:rFonts w:hint="eastAsia" w:ascii="宋体" w:hAnsi="宋体"/>
          <w:color w:val="000000"/>
        </w:rPr>
        <w:t>“投标文件”</w:t>
      </w:r>
      <w:r>
        <w:rPr>
          <w:rFonts w:hint="eastAsia"/>
          <w:color w:val="000000"/>
        </w:rPr>
        <w:t>，指投标人按照本招标文件要求编制并提交的投标响应文件。</w:t>
      </w:r>
    </w:p>
    <w:p w14:paraId="59C14F95">
      <w:pPr>
        <w:pStyle w:val="4"/>
        <w:rPr>
          <w:rFonts w:hint="eastAsia" w:eastAsia="宋体"/>
          <w:color w:val="000000"/>
        </w:rPr>
      </w:pPr>
      <w:r>
        <w:rPr>
          <w:rFonts w:hint="eastAsia" w:eastAsia="宋体"/>
          <w:color w:val="000000"/>
        </w:rPr>
        <w:t>2.1.4 通知</w:t>
      </w:r>
    </w:p>
    <w:p w14:paraId="3A71D572">
      <w:pPr>
        <w:pStyle w:val="58"/>
        <w:tabs>
          <w:tab w:val="left" w:pos="420"/>
        </w:tabs>
        <w:spacing w:line="360" w:lineRule="auto"/>
        <w:ind w:firstLine="420" w:firstLineChars="200"/>
        <w:rPr>
          <w:rFonts w:hint="eastAsia"/>
          <w:color w:val="000000"/>
        </w:rPr>
      </w:pPr>
      <w:r>
        <w:rPr>
          <w:rFonts w:hint="eastAsia"/>
          <w:color w:val="000000"/>
        </w:rPr>
        <w:t>凡与本项目有关的通知，招标人均会在本招标文件规定的投标截止时间的15个自然日前公布。投标人应密切关注，若因投标人疏忽而无法及时得知的，招标人不承担责任。</w:t>
      </w:r>
    </w:p>
    <w:p w14:paraId="7D96CBCE">
      <w:pPr>
        <w:pStyle w:val="3"/>
        <w:jc w:val="both"/>
        <w:rPr>
          <w:rFonts w:hint="eastAsia" w:ascii="黑体" w:hAnsi="黑体"/>
          <w:bCs/>
          <w:color w:val="000000"/>
        </w:rPr>
      </w:pPr>
      <w:bookmarkStart w:id="13" w:name="_Toc3006"/>
      <w:r>
        <w:rPr>
          <w:rFonts w:hint="eastAsia" w:ascii="黑体" w:hAnsi="黑体"/>
          <w:bCs/>
          <w:color w:val="000000"/>
        </w:rPr>
        <w:t>2.2 招标文件修订及澄清</w:t>
      </w:r>
      <w:bookmarkEnd w:id="13"/>
    </w:p>
    <w:p w14:paraId="35C78C03">
      <w:pPr>
        <w:spacing w:line="360" w:lineRule="auto"/>
        <w:ind w:firstLine="420"/>
        <w:rPr>
          <w:color w:val="000000"/>
        </w:rPr>
      </w:pPr>
      <w:r>
        <w:rPr>
          <w:rFonts w:hint="eastAsia"/>
          <w:color w:val="000000"/>
        </w:rPr>
        <w:t>本招标文件主要包括：招标公告、投标人须知、评标标准和评标办法、技术要求和服务要求、投标文件格式及附件，共六个部分。</w:t>
      </w:r>
    </w:p>
    <w:p w14:paraId="7849A0B0">
      <w:pPr>
        <w:pStyle w:val="4"/>
        <w:rPr>
          <w:rFonts w:hint="eastAsia" w:eastAsia="宋体"/>
          <w:color w:val="000000"/>
        </w:rPr>
      </w:pPr>
      <w:r>
        <w:rPr>
          <w:rFonts w:hint="eastAsia" w:eastAsia="宋体"/>
          <w:color w:val="000000"/>
        </w:rPr>
        <w:t>2.2.1 招标文件的修订</w:t>
      </w:r>
    </w:p>
    <w:p w14:paraId="39FD9981">
      <w:pPr>
        <w:spacing w:line="360" w:lineRule="auto"/>
        <w:ind w:firstLine="420"/>
        <w:rPr>
          <w:rFonts w:hint="eastAsia" w:ascii="宋体" w:hAnsi="宋体"/>
          <w:color w:val="000000"/>
        </w:rPr>
      </w:pPr>
      <w:r>
        <w:rPr>
          <w:rFonts w:hint="eastAsia" w:ascii="宋体" w:hAnsi="宋体"/>
          <w:color w:val="000000"/>
        </w:rPr>
        <w:t>2.2.1.1在投标截止期</w:t>
      </w:r>
      <w:r>
        <w:rPr>
          <w:rFonts w:hint="eastAsia" w:ascii="宋体" w:hAnsi="宋体"/>
          <w:color w:val="000000"/>
          <w:lang w:val="en-US" w:eastAsia="zh-CN"/>
        </w:rPr>
        <w:t>5</w:t>
      </w:r>
      <w:r>
        <w:rPr>
          <w:rFonts w:hint="eastAsia" w:ascii="宋体" w:hAnsi="宋体"/>
          <w:color w:val="000000"/>
        </w:rPr>
        <w:t>个自然日以前任何时候，招标人无论出于何种原因，均可对招标文件用补充文件的方式进行澄清和修改，澄清或修改的内容作为招标文件的组成部分，对所有领取了招标文件的投标人均具有约束力。</w:t>
      </w:r>
    </w:p>
    <w:p w14:paraId="07A1B17A">
      <w:pPr>
        <w:spacing w:line="360" w:lineRule="auto"/>
        <w:ind w:firstLine="420"/>
        <w:rPr>
          <w:rFonts w:hint="eastAsia" w:ascii="宋体" w:hAnsi="宋体"/>
          <w:color w:val="000000"/>
        </w:rPr>
      </w:pPr>
      <w:r>
        <w:rPr>
          <w:rFonts w:hint="eastAsia" w:ascii="宋体" w:hAnsi="宋体"/>
          <w:color w:val="000000"/>
        </w:rPr>
        <w:t>2.2.1.2澄清或修改的内容均会以补充文件的形式发送给投标人。投标人应密切关注，若因投标人疏忽而无法及时得知的，招标人不承担责任。</w:t>
      </w:r>
    </w:p>
    <w:p w14:paraId="7EC56192">
      <w:pPr>
        <w:spacing w:line="360" w:lineRule="auto"/>
        <w:ind w:firstLine="420"/>
        <w:rPr>
          <w:rFonts w:hint="eastAsia" w:ascii="宋体" w:hAnsi="宋体"/>
          <w:color w:val="000000"/>
        </w:rPr>
      </w:pPr>
      <w:r>
        <w:rPr>
          <w:rFonts w:hint="eastAsia" w:ascii="宋体" w:hAnsi="宋体"/>
          <w:color w:val="000000"/>
        </w:rPr>
        <w:t>2.2.1.3如果澄清或修改可能影响投标文件编制的，招标人可顺延接收投标文件的截止日期和开标日期，招标人和投标人的权利及义务将自动受到新的截止期进行约束。</w:t>
      </w:r>
    </w:p>
    <w:p w14:paraId="671F4AF4">
      <w:pPr>
        <w:pStyle w:val="4"/>
        <w:rPr>
          <w:rFonts w:hint="eastAsia" w:eastAsia="宋体"/>
          <w:color w:val="000000"/>
        </w:rPr>
      </w:pPr>
      <w:r>
        <w:rPr>
          <w:rFonts w:hint="eastAsia" w:eastAsia="宋体"/>
          <w:color w:val="000000"/>
        </w:rPr>
        <w:t>2.2.2 招标文件的澄清</w:t>
      </w:r>
    </w:p>
    <w:p w14:paraId="09993EAB">
      <w:pPr>
        <w:pStyle w:val="58"/>
        <w:spacing w:line="360" w:lineRule="auto"/>
        <w:ind w:firstLine="420" w:firstLineChars="200"/>
        <w:rPr>
          <w:rFonts w:hint="eastAsia"/>
          <w:color w:val="000000"/>
        </w:rPr>
      </w:pPr>
      <w:r>
        <w:rPr>
          <w:rFonts w:hint="eastAsia"/>
          <w:color w:val="000000"/>
        </w:rPr>
        <w:t>2.2.2.1投标人对招标文件有疑义的，应当在澄清截止日前以书面形式（盖章扫描件及</w:t>
      </w:r>
      <w:r>
        <w:rPr>
          <w:color w:val="000000"/>
        </w:rPr>
        <w:t>WORD文档）发送至</w:t>
      </w:r>
      <w:r>
        <w:rPr>
          <w:rFonts w:hint="eastAsia"/>
          <w:color w:val="000000"/>
        </w:rPr>
        <w:t>第一章招标公告中招标代理机构邮箱一次性提出质询。</w:t>
      </w:r>
    </w:p>
    <w:p w14:paraId="2B29D87A">
      <w:pPr>
        <w:spacing w:line="360" w:lineRule="auto"/>
        <w:ind w:firstLine="420"/>
        <w:rPr>
          <w:rFonts w:hint="eastAsia" w:ascii="宋体" w:hAnsi="宋体"/>
          <w:color w:val="000000"/>
        </w:rPr>
      </w:pPr>
      <w:r>
        <w:rPr>
          <w:rFonts w:hint="eastAsia" w:ascii="宋体" w:hAnsi="宋体"/>
          <w:color w:val="000000"/>
        </w:rPr>
        <w:t>2.2.2.2招标人及招标代理在收到投标人的质询资料后发布澄清文件，对质询问题予以答复。答复中包括原提出的问题，但不包括问题的来源。</w:t>
      </w:r>
    </w:p>
    <w:p w14:paraId="06EEC7E0">
      <w:pPr>
        <w:spacing w:line="360" w:lineRule="auto"/>
        <w:ind w:firstLine="420"/>
        <w:rPr>
          <w:rFonts w:hint="eastAsia" w:ascii="宋体" w:hAnsi="宋体"/>
          <w:color w:val="000000"/>
        </w:rPr>
      </w:pPr>
      <w:r>
        <w:rPr>
          <w:rFonts w:hint="eastAsia" w:ascii="宋体" w:hAnsi="宋体"/>
          <w:color w:val="000000"/>
        </w:rPr>
        <w:t>2.2.2.3招标人将视情况召开答疑会，邀请所有领取了招标文件的投标人参加，听取并答复投标人的疑问。投标人对招标人的答复应如实记录，并作为招标文件的补充内容。</w:t>
      </w:r>
    </w:p>
    <w:p w14:paraId="0870F0AC">
      <w:pPr>
        <w:spacing w:line="360" w:lineRule="auto"/>
        <w:ind w:firstLine="420"/>
        <w:rPr>
          <w:color w:val="000000"/>
        </w:rPr>
      </w:pPr>
      <w:r>
        <w:rPr>
          <w:rFonts w:hint="eastAsia" w:ascii="宋体" w:hAnsi="宋体"/>
          <w:color w:val="000000"/>
        </w:rPr>
        <w:t>2.2.2.4澄清之日届满后，投标人再次提出对招标文件质询的，招标人不予受理。</w:t>
      </w:r>
    </w:p>
    <w:p w14:paraId="263F3914">
      <w:pPr>
        <w:pStyle w:val="4"/>
        <w:rPr>
          <w:rFonts w:hint="eastAsia" w:eastAsia="宋体"/>
          <w:color w:val="000000"/>
        </w:rPr>
      </w:pPr>
      <w:r>
        <w:rPr>
          <w:rFonts w:hint="eastAsia" w:eastAsia="宋体"/>
          <w:color w:val="000000"/>
        </w:rPr>
        <w:t>2.2.3 招标文件修订和澄清的效用</w:t>
      </w:r>
    </w:p>
    <w:p w14:paraId="1198A4C2">
      <w:pPr>
        <w:spacing w:line="360" w:lineRule="auto"/>
        <w:ind w:firstLine="420"/>
        <w:rPr>
          <w:color w:val="000000"/>
        </w:rPr>
      </w:pPr>
      <w:r>
        <w:rPr>
          <w:rFonts w:hint="eastAsia"/>
          <w:color w:val="000000"/>
        </w:rPr>
        <w:t>招标文件的澄清和修改均为招标文件不可分割的部分，其效力等同于招标文件。</w:t>
      </w:r>
    </w:p>
    <w:p w14:paraId="0EF5F4DE">
      <w:pPr>
        <w:pStyle w:val="3"/>
        <w:jc w:val="both"/>
        <w:rPr>
          <w:rFonts w:hint="eastAsia" w:ascii="黑体" w:hAnsi="黑体"/>
          <w:bCs/>
          <w:color w:val="000000"/>
        </w:rPr>
      </w:pPr>
      <w:bookmarkStart w:id="14" w:name="_Toc4392"/>
      <w:r>
        <w:rPr>
          <w:rFonts w:hint="eastAsia" w:ascii="黑体" w:hAnsi="黑体"/>
          <w:bCs/>
          <w:color w:val="000000"/>
        </w:rPr>
        <w:t>2.3 投标文件编制要求</w:t>
      </w:r>
      <w:bookmarkEnd w:id="14"/>
    </w:p>
    <w:p w14:paraId="75A45945">
      <w:pPr>
        <w:pStyle w:val="4"/>
        <w:rPr>
          <w:rFonts w:hint="eastAsia" w:eastAsia="宋体"/>
          <w:color w:val="000000"/>
        </w:rPr>
      </w:pPr>
      <w:r>
        <w:rPr>
          <w:rFonts w:hint="eastAsia" w:eastAsia="宋体"/>
          <w:color w:val="000000"/>
        </w:rPr>
        <w:t>2.3.1 投标文件的语言和计量单位</w:t>
      </w:r>
    </w:p>
    <w:p w14:paraId="20305FAC">
      <w:pPr>
        <w:pStyle w:val="58"/>
        <w:spacing w:line="360" w:lineRule="auto"/>
        <w:ind w:firstLine="315" w:firstLineChars="150"/>
        <w:rPr>
          <w:rFonts w:hint="eastAsia"/>
          <w:color w:val="000000"/>
        </w:rPr>
      </w:pPr>
      <w:r>
        <w:rPr>
          <w:rFonts w:hint="eastAsia"/>
          <w:color w:val="000000"/>
        </w:rPr>
        <w:t>2.3.1.1投标人提交的全部及任何投标文件，包括技术文件、资料、图纸中的说明，以及投标人与招标人就有关投标事宜的所有来往函电等，均应使用中文简体字。</w:t>
      </w:r>
    </w:p>
    <w:p w14:paraId="023D0202">
      <w:pPr>
        <w:pStyle w:val="58"/>
        <w:spacing w:line="360" w:lineRule="auto"/>
        <w:ind w:firstLine="315" w:firstLineChars="150"/>
        <w:rPr>
          <w:rFonts w:hint="eastAsia"/>
          <w:color w:val="000000"/>
        </w:rPr>
      </w:pPr>
      <w:r>
        <w:rPr>
          <w:rFonts w:hint="eastAsia"/>
          <w:color w:val="000000"/>
        </w:rPr>
        <w:t>2.3.1.2原版为外文的证书类文件，以及由外国人作出的本人签名、外国公司的名称或外国印章等可以是外文，但投标人应当向招标人提供翻译文件，必要时招标人可以要求提供附有公证书的翻译文件。</w:t>
      </w:r>
    </w:p>
    <w:p w14:paraId="1FD37220">
      <w:pPr>
        <w:pStyle w:val="58"/>
        <w:spacing w:line="360" w:lineRule="auto"/>
        <w:ind w:firstLine="315" w:firstLineChars="150"/>
        <w:rPr>
          <w:rFonts w:hint="eastAsia"/>
          <w:color w:val="000000"/>
        </w:rPr>
      </w:pPr>
      <w:r>
        <w:rPr>
          <w:rFonts w:hint="eastAsia"/>
          <w:color w:val="000000"/>
        </w:rPr>
        <w:t>2.3.1.3所使用的计量单位，应为中华人民共和国法定计量单位。</w:t>
      </w:r>
    </w:p>
    <w:p w14:paraId="5B052D97">
      <w:pPr>
        <w:pStyle w:val="58"/>
        <w:spacing w:line="360" w:lineRule="auto"/>
        <w:ind w:firstLine="315" w:firstLineChars="150"/>
        <w:rPr>
          <w:rFonts w:hint="eastAsia"/>
          <w:color w:val="000000"/>
        </w:rPr>
      </w:pPr>
      <w:r>
        <w:rPr>
          <w:rFonts w:hint="eastAsia"/>
          <w:color w:val="000000"/>
        </w:rPr>
        <w:t>2.3.1.4对违反上述规定情形的，招标人有权根据本次采购投标人数量及招标人、评委的要求，决定要求相关投标人限期提供加盖公章的翻译文件或决定拒绝其投标。</w:t>
      </w:r>
    </w:p>
    <w:p w14:paraId="00AA530B">
      <w:pPr>
        <w:pStyle w:val="4"/>
        <w:rPr>
          <w:rFonts w:hint="eastAsia" w:eastAsia="宋体"/>
          <w:color w:val="000000"/>
        </w:rPr>
      </w:pPr>
      <w:r>
        <w:rPr>
          <w:rFonts w:hint="eastAsia" w:eastAsia="宋体"/>
          <w:color w:val="000000"/>
        </w:rPr>
        <w:t>2.3.2 投标文件的组成和相关要求</w:t>
      </w:r>
    </w:p>
    <w:p w14:paraId="699FFAFE">
      <w:pPr>
        <w:pStyle w:val="58"/>
        <w:spacing w:line="360" w:lineRule="auto"/>
        <w:ind w:firstLine="422" w:firstLineChars="200"/>
        <w:rPr>
          <w:rFonts w:hint="eastAsia"/>
          <w:b/>
          <w:color w:val="000000"/>
        </w:rPr>
      </w:pPr>
      <w:r>
        <w:rPr>
          <w:rFonts w:hint="eastAsia"/>
          <w:b/>
          <w:color w:val="000000"/>
        </w:rPr>
        <w:t>2.3.2.1投标文件分为商务部分和技术服务部分</w:t>
      </w:r>
    </w:p>
    <w:p w14:paraId="39F7E55B">
      <w:pPr>
        <w:pStyle w:val="58"/>
        <w:spacing w:line="360" w:lineRule="auto"/>
        <w:ind w:firstLine="420" w:firstLineChars="200"/>
        <w:rPr>
          <w:rFonts w:hint="eastAsia"/>
          <w:color w:val="000000"/>
        </w:rPr>
      </w:pPr>
      <w:r>
        <w:rPr>
          <w:rFonts w:hint="eastAsia"/>
          <w:color w:val="000000"/>
        </w:rPr>
        <w:t>商务部分指投标人提交的证明其有资格参加投标后有能力履行合同的文件。技术服务部分指投标人提交的证明其提供的货物或服务符合招标文件规定的文件。本次招标，投标人应按招标文件相关要求规定提交商务文件、技术服务文件和需要投标人自行编写的其他文件。</w:t>
      </w:r>
      <w:r>
        <w:rPr>
          <w:rFonts w:hint="eastAsia"/>
          <w:b/>
          <w:color w:val="000000"/>
        </w:rPr>
        <w:t>其中加*项目若有缺失或无效，将不允许在开标后补正且可能导致投标文件被拒绝。</w:t>
      </w:r>
    </w:p>
    <w:p w14:paraId="7146C397">
      <w:pPr>
        <w:pStyle w:val="58"/>
        <w:spacing w:line="360" w:lineRule="auto"/>
        <w:ind w:firstLine="422" w:firstLineChars="200"/>
        <w:rPr>
          <w:rFonts w:hint="eastAsia"/>
          <w:b/>
          <w:color w:val="000000"/>
        </w:rPr>
      </w:pPr>
      <w:r>
        <w:rPr>
          <w:rFonts w:hint="eastAsia"/>
          <w:b/>
          <w:color w:val="000000"/>
        </w:rPr>
        <w:t>2.3.2.2投标保证金</w:t>
      </w:r>
    </w:p>
    <w:p w14:paraId="37994FD6">
      <w:pPr>
        <w:pStyle w:val="58"/>
        <w:spacing w:line="360" w:lineRule="auto"/>
        <w:ind w:firstLine="420" w:firstLineChars="200"/>
        <w:rPr>
          <w:rFonts w:hint="eastAsia"/>
          <w:color w:val="000000"/>
          <w:u w:val="single"/>
        </w:rPr>
      </w:pPr>
      <w:r>
        <w:rPr>
          <w:rFonts w:hint="eastAsia"/>
          <w:color w:val="000000"/>
        </w:rPr>
        <w:t>（1）投标人应以银行转账方式提供本项目的投标保证金。投标保证金相关格式、收款账户信息和提交要求详见5.2.10，投标保证金金额详见2.1投标文件前附表。</w:t>
      </w:r>
    </w:p>
    <w:p w14:paraId="65D6D424">
      <w:pPr>
        <w:pStyle w:val="58"/>
        <w:spacing w:line="360" w:lineRule="auto"/>
        <w:ind w:firstLine="420" w:firstLineChars="200"/>
        <w:rPr>
          <w:rFonts w:hint="eastAsia"/>
          <w:color w:val="000000"/>
        </w:rPr>
      </w:pPr>
      <w:r>
        <w:rPr>
          <w:rFonts w:hint="eastAsia"/>
          <w:color w:val="000000"/>
        </w:rPr>
        <w:t>（2）未按上述要求提交投标保证金的投标文件将可能被视为无效并可能导致投标被拒绝。</w:t>
      </w:r>
    </w:p>
    <w:p w14:paraId="68930091">
      <w:pPr>
        <w:pStyle w:val="58"/>
        <w:spacing w:line="360" w:lineRule="auto"/>
        <w:ind w:firstLine="422" w:firstLineChars="200"/>
        <w:rPr>
          <w:rFonts w:hint="eastAsia"/>
          <w:b/>
          <w:color w:val="000000"/>
        </w:rPr>
      </w:pPr>
      <w:r>
        <w:rPr>
          <w:rFonts w:hint="eastAsia"/>
          <w:b/>
          <w:color w:val="000000"/>
        </w:rPr>
        <w:t>2.3.2.3投标报价</w:t>
      </w:r>
    </w:p>
    <w:p w14:paraId="276FB3B2">
      <w:pPr>
        <w:pStyle w:val="58"/>
        <w:spacing w:line="360" w:lineRule="auto"/>
        <w:ind w:firstLine="420" w:firstLineChars="200"/>
        <w:rPr>
          <w:rFonts w:hint="eastAsia"/>
          <w:color w:val="000000"/>
        </w:rPr>
      </w:pPr>
      <w:r>
        <w:rPr>
          <w:rFonts w:hint="eastAsia"/>
          <w:color w:val="000000"/>
        </w:rPr>
        <w:t>（1）所有投标报价均以人民币元为计量单位。投标报价应已经包含了购买本次服务所需缴纳的所有税费及其他一切费用。</w:t>
      </w:r>
    </w:p>
    <w:p w14:paraId="10500F5C">
      <w:pPr>
        <w:pStyle w:val="58"/>
        <w:spacing w:line="360" w:lineRule="auto"/>
        <w:ind w:firstLine="420" w:firstLineChars="200"/>
        <w:rPr>
          <w:rFonts w:hint="eastAsia"/>
          <w:color w:val="000000"/>
        </w:rPr>
      </w:pPr>
      <w:r>
        <w:rPr>
          <w:rFonts w:hint="eastAsia"/>
          <w:color w:val="000000"/>
        </w:rPr>
        <w:t>（2）投标人要认真按照招标文件要求详细填写相关报价文件，包括但不限于开标一览表、投标货物（服务）清单等。开标一览表中“投标总价”应等于各项货物（服务）投标报价之和。</w:t>
      </w:r>
    </w:p>
    <w:p w14:paraId="6F3213C4">
      <w:pPr>
        <w:pStyle w:val="58"/>
        <w:spacing w:line="360" w:lineRule="auto"/>
        <w:ind w:firstLine="420" w:firstLineChars="200"/>
        <w:rPr>
          <w:rFonts w:hint="eastAsia"/>
          <w:color w:val="000000"/>
        </w:rPr>
      </w:pPr>
      <w:r>
        <w:rPr>
          <w:rFonts w:hint="eastAsia"/>
          <w:color w:val="000000"/>
        </w:rPr>
        <w:t>（3）投标文件报价出现前后不一致的，按照下列规定修正：</w:t>
      </w:r>
    </w:p>
    <w:p w14:paraId="505C941B">
      <w:pPr>
        <w:pStyle w:val="58"/>
        <w:numPr>
          <w:ilvl w:val="0"/>
          <w:numId w:val="6"/>
        </w:numPr>
        <w:spacing w:line="360" w:lineRule="auto"/>
        <w:ind w:left="1276"/>
        <w:rPr>
          <w:rFonts w:hint="eastAsia"/>
          <w:color w:val="000000"/>
        </w:rPr>
      </w:pPr>
      <w:r>
        <w:rPr>
          <w:rFonts w:hint="eastAsia"/>
          <w:color w:val="000000"/>
        </w:rPr>
        <w:t>投标文件中开标一览表内容与投标文件中相应内容不一致的，以开标一览表为准；</w:t>
      </w:r>
    </w:p>
    <w:p w14:paraId="4EA0615D">
      <w:pPr>
        <w:pStyle w:val="58"/>
        <w:numPr>
          <w:ilvl w:val="0"/>
          <w:numId w:val="6"/>
        </w:numPr>
        <w:spacing w:line="360" w:lineRule="auto"/>
        <w:ind w:left="1276"/>
        <w:rPr>
          <w:rFonts w:hint="eastAsia"/>
          <w:color w:val="000000"/>
        </w:rPr>
      </w:pPr>
      <w:r>
        <w:rPr>
          <w:rFonts w:hint="eastAsia"/>
          <w:color w:val="000000"/>
        </w:rPr>
        <w:t>大写金额和小写金额不一致的，以大写金额为准；</w:t>
      </w:r>
    </w:p>
    <w:p w14:paraId="5F8CDD89">
      <w:pPr>
        <w:pStyle w:val="58"/>
        <w:numPr>
          <w:ilvl w:val="0"/>
          <w:numId w:val="6"/>
        </w:numPr>
        <w:spacing w:line="360" w:lineRule="auto"/>
        <w:ind w:left="1276"/>
        <w:rPr>
          <w:rFonts w:hint="eastAsia"/>
          <w:color w:val="000000"/>
        </w:rPr>
      </w:pPr>
      <w:r>
        <w:rPr>
          <w:rFonts w:hint="eastAsia"/>
          <w:color w:val="000000"/>
        </w:rPr>
        <w:t>单价金额小数点或者百分比有明显错位的，以开标一览表的总价为准，并修改单价；</w:t>
      </w:r>
    </w:p>
    <w:p w14:paraId="39F9EADF">
      <w:pPr>
        <w:pStyle w:val="58"/>
        <w:numPr>
          <w:ilvl w:val="0"/>
          <w:numId w:val="6"/>
        </w:numPr>
        <w:spacing w:line="360" w:lineRule="auto"/>
        <w:ind w:left="1276"/>
        <w:rPr>
          <w:rFonts w:hint="eastAsia"/>
          <w:color w:val="000000"/>
        </w:rPr>
      </w:pPr>
      <w:r>
        <w:rPr>
          <w:rFonts w:hint="eastAsia"/>
          <w:color w:val="000000"/>
        </w:rPr>
        <w:t>总价金额与按单价汇总金额不一致的，以单价金额计算结果为准。</w:t>
      </w:r>
    </w:p>
    <w:p w14:paraId="3515ECAF">
      <w:pPr>
        <w:pStyle w:val="58"/>
        <w:spacing w:line="360" w:lineRule="auto"/>
        <w:ind w:firstLine="420" w:firstLineChars="200"/>
        <w:rPr>
          <w:rFonts w:hint="eastAsia"/>
          <w:color w:val="000000"/>
        </w:rPr>
      </w:pPr>
      <w:r>
        <w:rPr>
          <w:rFonts w:hint="eastAsia"/>
          <w:color w:val="000000"/>
        </w:rPr>
        <w:t>同时出现两种以上不一致的，按照前款规定的顺序修正。经投标人确认后产生约束力，投标人不确认的，其投标无效。</w:t>
      </w:r>
    </w:p>
    <w:p w14:paraId="1C3384EB">
      <w:pPr>
        <w:pStyle w:val="58"/>
        <w:spacing w:line="360" w:lineRule="auto"/>
        <w:ind w:firstLine="420" w:firstLineChars="200"/>
        <w:rPr>
          <w:rFonts w:hint="eastAsia"/>
          <w:color w:val="000000"/>
        </w:rPr>
      </w:pPr>
      <w:r>
        <w:rPr>
          <w:rFonts w:hint="eastAsia"/>
          <w:color w:val="000000"/>
        </w:rPr>
        <w:t>（4）投标人对投标报价若有说明应在开标一览表显著处注明，只有开标时唱出的报价和优惠才会在评标时予以考虑。招标人不接受可选择的投标方案和报价。任何有选择的或可调整的投标方案和报价将被视为非响应性投标而被拒绝。</w:t>
      </w:r>
    </w:p>
    <w:p w14:paraId="10DDA182">
      <w:pPr>
        <w:pStyle w:val="58"/>
        <w:spacing w:line="360" w:lineRule="auto"/>
        <w:ind w:firstLine="420" w:firstLineChars="200"/>
        <w:rPr>
          <w:rFonts w:hint="eastAsia"/>
          <w:color w:val="000000"/>
        </w:rPr>
      </w:pPr>
      <w:r>
        <w:rPr>
          <w:rFonts w:hint="eastAsia"/>
          <w:color w:val="000000"/>
        </w:rPr>
        <w:t>（5）最低的报价不作为中标的保证。</w:t>
      </w:r>
    </w:p>
    <w:p w14:paraId="12440F00">
      <w:pPr>
        <w:pStyle w:val="4"/>
        <w:rPr>
          <w:rFonts w:hint="eastAsia" w:eastAsia="宋体"/>
          <w:color w:val="000000"/>
        </w:rPr>
      </w:pPr>
      <w:r>
        <w:rPr>
          <w:rFonts w:hint="eastAsia" w:eastAsia="宋体"/>
          <w:color w:val="000000"/>
        </w:rPr>
        <w:t>2.3.3 投标文件的填写说明</w:t>
      </w:r>
    </w:p>
    <w:p w14:paraId="37EC134E">
      <w:pPr>
        <w:pStyle w:val="58"/>
        <w:spacing w:line="360" w:lineRule="auto"/>
        <w:ind w:firstLine="420" w:firstLineChars="200"/>
        <w:rPr>
          <w:rFonts w:hint="eastAsia"/>
          <w:color w:val="000000"/>
        </w:rPr>
      </w:pPr>
      <w:r>
        <w:rPr>
          <w:rFonts w:hint="eastAsia"/>
          <w:color w:val="000000"/>
        </w:rPr>
        <w:t>2.3.3.1</w:t>
      </w:r>
      <w:r>
        <w:rPr>
          <w:rFonts w:hint="eastAsia"/>
          <w:b/>
          <w:color w:val="000000"/>
        </w:rPr>
        <w:t>投标人</w:t>
      </w:r>
      <w:r>
        <w:rPr>
          <w:rFonts w:hint="eastAsia"/>
          <w:b/>
          <w:color w:val="000000"/>
          <w:lang w:val="en-US" w:eastAsia="zh-CN"/>
        </w:rPr>
        <w:t>直接向</w:t>
      </w:r>
      <w:r>
        <w:rPr>
          <w:rFonts w:hint="eastAsia"/>
          <w:b/>
          <w:color w:val="000000"/>
        </w:rPr>
        <w:t>招标</w:t>
      </w:r>
      <w:r>
        <w:rPr>
          <w:rFonts w:hint="eastAsia"/>
          <w:b/>
          <w:color w:val="000000"/>
          <w:lang w:val="en-US" w:eastAsia="zh-CN"/>
        </w:rPr>
        <w:t>人</w:t>
      </w:r>
      <w:r>
        <w:rPr>
          <w:rFonts w:hint="eastAsia"/>
          <w:b/>
          <w:color w:val="000000"/>
        </w:rPr>
        <w:t>领取招标文件，</w:t>
      </w:r>
      <w:r>
        <w:rPr>
          <w:rFonts w:hint="eastAsia"/>
          <w:color w:val="000000"/>
        </w:rPr>
        <w:t>投标文件应严格按照招标文件格式之规定的顺序编制目录并装订成册，由于编排混乱导致投标文件被误读或查找不到，应由投标人承担责任。</w:t>
      </w:r>
    </w:p>
    <w:p w14:paraId="6BBB239E">
      <w:pPr>
        <w:pStyle w:val="58"/>
        <w:spacing w:line="360" w:lineRule="auto"/>
        <w:ind w:firstLine="420" w:firstLineChars="200"/>
        <w:rPr>
          <w:rFonts w:hint="eastAsia"/>
          <w:color w:val="000000"/>
        </w:rPr>
      </w:pPr>
      <w:r>
        <w:rPr>
          <w:rFonts w:hint="eastAsia"/>
          <w:color w:val="000000"/>
        </w:rPr>
        <w:t>2.3.3.2投标人应详细阅读招标文件的全部内容。投标文件须对招标文件中的内容逐项作出实质性和完整性响应，如果投标文件没有提供投标人须知前附表*项条款规定的内容或填报的内容资料不详，均将可能导致投标被拒绝。</w:t>
      </w:r>
    </w:p>
    <w:p w14:paraId="71F9EF00">
      <w:pPr>
        <w:pStyle w:val="58"/>
        <w:spacing w:line="360" w:lineRule="auto"/>
        <w:ind w:firstLine="420" w:firstLineChars="200"/>
        <w:rPr>
          <w:rFonts w:hint="eastAsia"/>
          <w:color w:val="000000"/>
        </w:rPr>
      </w:pPr>
      <w:r>
        <w:rPr>
          <w:rFonts w:hint="eastAsia"/>
          <w:color w:val="000000"/>
        </w:rPr>
        <w:t>2.3.3.3投标文件应严格按照本文第五部分投标文件格式要求提交，并按规定的统一格式逐项填写，不准有空项；无相应内容可填写“无”、“未测试”、“没有相应指标”等明确的回答文字。投标文件未按规定提交或留有空项，将被视为不完整响应的投标文件，其投标有可能被拒绝。</w:t>
      </w:r>
    </w:p>
    <w:p w14:paraId="2731F502">
      <w:pPr>
        <w:pStyle w:val="58"/>
        <w:spacing w:line="360" w:lineRule="auto"/>
        <w:ind w:firstLine="420" w:firstLineChars="200"/>
        <w:rPr>
          <w:rFonts w:hint="eastAsia"/>
          <w:color w:val="000000"/>
        </w:rPr>
      </w:pPr>
      <w:r>
        <w:rPr>
          <w:rFonts w:hint="eastAsia"/>
          <w:color w:val="000000"/>
        </w:rPr>
        <w:t>2.3.3.4开标一览表作为在开标现场上公开唱标的内容，必须按格式统一填写，不得自行增减内容。</w:t>
      </w:r>
    </w:p>
    <w:p w14:paraId="30885810">
      <w:pPr>
        <w:pStyle w:val="58"/>
        <w:spacing w:line="360" w:lineRule="auto"/>
        <w:ind w:firstLine="420" w:firstLineChars="200"/>
        <w:rPr>
          <w:rFonts w:hint="eastAsia"/>
          <w:color w:val="000000"/>
        </w:rPr>
      </w:pPr>
      <w:r>
        <w:rPr>
          <w:rFonts w:hint="eastAsia"/>
          <w:color w:val="000000"/>
        </w:rPr>
        <w:t>2.3.3.5投标人必须保证投标文件所提供的全部资料真实可靠。</w:t>
      </w:r>
    </w:p>
    <w:p w14:paraId="52BDB9AE">
      <w:pPr>
        <w:pStyle w:val="58"/>
        <w:spacing w:line="360" w:lineRule="auto"/>
        <w:ind w:firstLine="420" w:firstLineChars="200"/>
        <w:rPr>
          <w:rFonts w:hint="eastAsia"/>
          <w:color w:val="000000"/>
        </w:rPr>
      </w:pPr>
      <w:r>
        <w:rPr>
          <w:rFonts w:hint="eastAsia"/>
          <w:color w:val="000000"/>
        </w:rPr>
        <w:t>2.3.3.6投标人在投标文件及相关文件的签订、履行、通知等事项中的书面文件中的单位盖章、印章、公章等处均仅指与相关当事人名称全称相一致的标准公章，不得使用其他形式如带有“专用章”等字样的印章。否则可以被招标人视为无效。</w:t>
      </w:r>
    </w:p>
    <w:p w14:paraId="324C366F">
      <w:pPr>
        <w:pStyle w:val="4"/>
        <w:rPr>
          <w:rFonts w:hint="eastAsia" w:eastAsia="宋体"/>
          <w:color w:val="000000"/>
        </w:rPr>
      </w:pPr>
      <w:r>
        <w:rPr>
          <w:rFonts w:hint="eastAsia" w:eastAsia="宋体"/>
          <w:color w:val="000000"/>
        </w:rPr>
        <w:t>2.3.4 投标文件的有效期</w:t>
      </w:r>
    </w:p>
    <w:p w14:paraId="2307F543">
      <w:pPr>
        <w:pStyle w:val="58"/>
        <w:spacing w:line="360" w:lineRule="auto"/>
        <w:ind w:firstLine="420" w:firstLineChars="200"/>
        <w:rPr>
          <w:rFonts w:hint="eastAsia"/>
          <w:color w:val="000000"/>
        </w:rPr>
      </w:pPr>
      <w:r>
        <w:rPr>
          <w:rFonts w:hint="eastAsia"/>
          <w:color w:val="000000"/>
        </w:rPr>
        <w:t>2.3.4.1本项目投标文件的有效期详见投标人须知前附表第7项。在提交投标文件截止时间后到招标文件规定的投标有效期终止之前，投标人不得要求撤销或修改其投标文件，否则招标人可以不退还其投标保证金。</w:t>
      </w:r>
    </w:p>
    <w:p w14:paraId="21FF904A">
      <w:pPr>
        <w:pStyle w:val="58"/>
        <w:spacing w:line="360" w:lineRule="auto"/>
        <w:ind w:firstLine="420" w:firstLineChars="200"/>
        <w:rPr>
          <w:rFonts w:hint="eastAsia"/>
          <w:color w:val="000000"/>
        </w:rPr>
      </w:pPr>
      <w:r>
        <w:rPr>
          <w:rFonts w:hint="eastAsia"/>
          <w:color w:val="000000"/>
        </w:rPr>
        <w:t>2.3.4.2在特殊情况下，招标人可与投标人协商延长投标文件的有效期，招标人应当通知所有投标人延长投标有效期。这种要求和答复都应以书面形式进行。如投标人拒绝延长投标有效期的，视为退出投标并有权收回投标保证金。如投标人同意延长投标文件有效期的，应当相应延长其投标保证金的有效期，但不得修改投标文件的其他内容。</w:t>
      </w:r>
    </w:p>
    <w:p w14:paraId="3469BD18">
      <w:pPr>
        <w:pStyle w:val="4"/>
        <w:rPr>
          <w:rFonts w:hint="eastAsia" w:eastAsia="宋体"/>
          <w:color w:val="000000"/>
        </w:rPr>
      </w:pPr>
      <w:r>
        <w:rPr>
          <w:rFonts w:hint="eastAsia" w:eastAsia="宋体"/>
          <w:color w:val="000000"/>
        </w:rPr>
        <w:t>2.3.5 投标文件的签署和其他规定</w:t>
      </w:r>
    </w:p>
    <w:p w14:paraId="2C081177">
      <w:pPr>
        <w:pStyle w:val="58"/>
        <w:spacing w:line="360" w:lineRule="auto"/>
        <w:ind w:firstLine="420" w:firstLineChars="200"/>
        <w:rPr>
          <w:rFonts w:hint="eastAsia"/>
          <w:color w:val="000000"/>
        </w:rPr>
      </w:pPr>
      <w:r>
        <w:rPr>
          <w:rFonts w:hint="eastAsia"/>
          <w:color w:val="000000"/>
        </w:rPr>
        <w:t>2.3.5.1投标人应按照招标文件要求，在招标文件中规定的位置填写、签字（或人名章）及盖章。</w:t>
      </w:r>
    </w:p>
    <w:p w14:paraId="22A04C75">
      <w:pPr>
        <w:pStyle w:val="58"/>
        <w:spacing w:line="360" w:lineRule="auto"/>
        <w:ind w:firstLine="420" w:firstLineChars="200"/>
        <w:rPr>
          <w:rFonts w:hint="eastAsia"/>
          <w:color w:val="000000"/>
        </w:rPr>
      </w:pPr>
      <w:r>
        <w:rPr>
          <w:rFonts w:hint="eastAsia"/>
          <w:color w:val="000000"/>
        </w:rPr>
        <w:t>2.3.5.2投标人应按投标人须知前附表第8项规定的文件及份数提交投标文件。</w:t>
      </w:r>
    </w:p>
    <w:p w14:paraId="602691BE">
      <w:pPr>
        <w:pStyle w:val="58"/>
        <w:spacing w:line="360" w:lineRule="auto"/>
        <w:ind w:firstLine="422" w:firstLineChars="200"/>
        <w:rPr>
          <w:rFonts w:hint="eastAsia"/>
          <w:b/>
          <w:color w:val="000000"/>
        </w:rPr>
      </w:pPr>
      <w:r>
        <w:rPr>
          <w:rFonts w:hint="eastAsia"/>
          <w:b/>
          <w:color w:val="000000"/>
        </w:rPr>
        <w:t>2.3.5.3投标人编写投标文件，在完整填报数据后，打印投标文件的全部内容，并按照相应格式要求盖章（签字），扫描投标文件正本（扩展名为“.pdf”）存储于</w:t>
      </w:r>
      <w:r>
        <w:rPr>
          <w:rFonts w:hint="eastAsia"/>
          <w:b/>
          <w:color w:val="000000"/>
          <w:u w:val="single"/>
        </w:rPr>
        <w:t xml:space="preserve"> 1 </w:t>
      </w:r>
      <w:r>
        <w:rPr>
          <w:rFonts w:hint="eastAsia"/>
          <w:b/>
          <w:color w:val="000000"/>
        </w:rPr>
        <w:t>个U盘，连同纸质投标文件一并提交。投标人应保证投标文件数据包与纸质投标文件正本的内容完全一致，不一致时将以纸质投标文件正本为准，因不一致所引起的不利后果由投标人自行承担。有关资格证明文件和证书、检验报告等应依原样扫描为彩色电子文档，且清晰易读。</w:t>
      </w:r>
    </w:p>
    <w:p w14:paraId="3852B46F">
      <w:pPr>
        <w:pStyle w:val="58"/>
        <w:spacing w:line="360" w:lineRule="auto"/>
        <w:ind w:firstLine="420" w:firstLineChars="200"/>
        <w:rPr>
          <w:rFonts w:hint="eastAsia"/>
          <w:color w:val="000000"/>
        </w:rPr>
      </w:pPr>
      <w:r>
        <w:rPr>
          <w:rFonts w:hint="eastAsia"/>
          <w:color w:val="000000"/>
        </w:rPr>
        <w:t>2.3.5.4</w:t>
      </w:r>
      <w:r>
        <w:rPr>
          <w:rFonts w:hint="eastAsia"/>
          <w:b/>
          <w:color w:val="000000"/>
        </w:rPr>
        <w:t>投标文件的正本必须用不褪色的黑色墨水填写或打印，注明“正本”字样，并由投标人代表签字（或人名章）。如投标人代表不是法定代表人本人的，须将《法定代表人授权委托书》（按照招标文件格式填写）原件附在投标文件中，否则按投标无效处理。</w:t>
      </w:r>
    </w:p>
    <w:p w14:paraId="0ACE6EDF">
      <w:pPr>
        <w:pStyle w:val="58"/>
        <w:spacing w:line="360" w:lineRule="auto"/>
        <w:ind w:firstLine="420" w:firstLineChars="200"/>
        <w:rPr>
          <w:rFonts w:hint="eastAsia"/>
          <w:color w:val="000000"/>
        </w:rPr>
      </w:pPr>
      <w:r>
        <w:rPr>
          <w:rFonts w:hint="eastAsia"/>
          <w:color w:val="000000"/>
        </w:rPr>
        <w:t>2.3.5.5投标文件应字迹清楚、内容齐全、不得涂改。如有涂改，必须有投标人公章及投标人法定代表人或授权投标人代表签字（或人名章）。</w:t>
      </w:r>
    </w:p>
    <w:p w14:paraId="08C937DF">
      <w:pPr>
        <w:pStyle w:val="58"/>
        <w:spacing w:line="360" w:lineRule="auto"/>
        <w:ind w:firstLine="420" w:firstLineChars="200"/>
        <w:rPr>
          <w:rFonts w:hint="eastAsia"/>
          <w:color w:val="000000"/>
        </w:rPr>
      </w:pPr>
      <w:r>
        <w:rPr>
          <w:rFonts w:hint="eastAsia"/>
          <w:color w:val="000000"/>
        </w:rPr>
        <w:t>2.3.5.6因投标文件字迹潦草或表达不清所引起的不利后果由投标人承担。</w:t>
      </w:r>
    </w:p>
    <w:p w14:paraId="76DDA8B3">
      <w:pPr>
        <w:pStyle w:val="4"/>
        <w:rPr>
          <w:rFonts w:hint="eastAsia" w:eastAsia="宋体"/>
          <w:color w:val="000000"/>
        </w:rPr>
      </w:pPr>
      <w:r>
        <w:rPr>
          <w:rFonts w:hint="eastAsia" w:eastAsia="宋体"/>
          <w:color w:val="000000"/>
        </w:rPr>
        <w:t>2.3.6 投标文件的递交</w:t>
      </w:r>
    </w:p>
    <w:p w14:paraId="4A9ED026">
      <w:pPr>
        <w:pStyle w:val="58"/>
        <w:spacing w:line="360" w:lineRule="auto"/>
        <w:ind w:firstLine="422" w:firstLineChars="200"/>
        <w:rPr>
          <w:rFonts w:hint="eastAsia"/>
          <w:b/>
          <w:color w:val="000000"/>
        </w:rPr>
      </w:pPr>
      <w:r>
        <w:rPr>
          <w:rFonts w:hint="eastAsia"/>
          <w:b/>
          <w:color w:val="000000"/>
        </w:rPr>
        <w:t>2.3.6.1投标文件的密封及标记，投标文件应按以下方法分别装袋密封：</w:t>
      </w:r>
    </w:p>
    <w:p w14:paraId="2BB481FB">
      <w:pPr>
        <w:pStyle w:val="58"/>
        <w:spacing w:line="360" w:lineRule="auto"/>
        <w:ind w:firstLine="420" w:firstLineChars="200"/>
        <w:rPr>
          <w:rFonts w:hint="eastAsia"/>
          <w:color w:val="000000"/>
        </w:rPr>
      </w:pPr>
      <w:r>
        <w:rPr>
          <w:rFonts w:hint="eastAsia"/>
          <w:color w:val="000000"/>
        </w:rPr>
        <w:t>（1）投标文件密封袋内装投标文件正副本及投标人认为有必要提交的其他资料。</w:t>
      </w:r>
      <w:r>
        <w:rPr>
          <w:rFonts w:hint="eastAsia"/>
          <w:b/>
          <w:color w:val="000000"/>
        </w:rPr>
        <w:t>封口处应有投标人代表的签字（或人名章）及投标人公章。封皮上写明项目编号、包号、项目名称、投标人全称、地址，并注明“开标时启封”字样。</w:t>
      </w:r>
    </w:p>
    <w:p w14:paraId="5B7D4E08">
      <w:pPr>
        <w:pStyle w:val="58"/>
        <w:spacing w:line="360" w:lineRule="auto"/>
        <w:ind w:firstLine="420" w:firstLineChars="200"/>
        <w:rPr>
          <w:rFonts w:hint="eastAsia"/>
          <w:b/>
          <w:color w:val="000000"/>
        </w:rPr>
      </w:pPr>
      <w:r>
        <w:rPr>
          <w:rFonts w:hint="eastAsia"/>
          <w:color w:val="000000"/>
        </w:rPr>
        <w:t>（2）为方便开标，</w:t>
      </w:r>
      <w:r>
        <w:rPr>
          <w:rFonts w:hint="eastAsia"/>
          <w:b/>
          <w:color w:val="000000"/>
        </w:rPr>
        <w:t>投标文件数据包u盘应单独密封在一个信封内。封口处应有投标人代表的签字（或人名章）及投标人公章。正面写明项目编号、包号、项目名称及投标人全称，并注明“投标文件数据包”字样。</w:t>
      </w:r>
    </w:p>
    <w:p w14:paraId="63649AB6">
      <w:pPr>
        <w:pStyle w:val="58"/>
        <w:spacing w:line="360" w:lineRule="auto"/>
        <w:ind w:firstLine="420" w:firstLineChars="200"/>
        <w:rPr>
          <w:rFonts w:hint="eastAsia"/>
          <w:color w:val="000000"/>
        </w:rPr>
      </w:pPr>
      <w:r>
        <w:rPr>
          <w:rFonts w:hint="eastAsia"/>
          <w:color w:val="000000"/>
        </w:rPr>
        <w:t>（3）</w:t>
      </w:r>
      <w:r>
        <w:rPr>
          <w:rFonts w:hint="eastAsia"/>
          <w:b/>
          <w:color w:val="000000"/>
        </w:rPr>
        <w:t>为方便开标，开标一览表应单独放在另一密封信封内，封口处应有投标人代表的签字（或人名章）及投标人公章。正面写明项目编号、包号、项目名称及投标人全称，并注明“开标一览表”字样。</w:t>
      </w:r>
    </w:p>
    <w:p w14:paraId="6D4158DA">
      <w:pPr>
        <w:pStyle w:val="58"/>
        <w:spacing w:line="360" w:lineRule="auto"/>
        <w:ind w:left="420"/>
        <w:rPr>
          <w:rFonts w:hint="eastAsia"/>
          <w:color w:val="000000"/>
        </w:rPr>
      </w:pPr>
      <w:r>
        <w:rPr>
          <w:rFonts w:hint="eastAsia"/>
          <w:color w:val="000000"/>
        </w:rPr>
        <w:t>如果投标人未按上述要求对投标文件密封及加写标记，招标人有权予以拒绝，并退回投标人。</w:t>
      </w:r>
    </w:p>
    <w:p w14:paraId="72E2F31E">
      <w:pPr>
        <w:pStyle w:val="58"/>
        <w:spacing w:line="360" w:lineRule="auto"/>
        <w:ind w:firstLine="422" w:firstLineChars="200"/>
        <w:rPr>
          <w:rFonts w:hint="eastAsia"/>
          <w:b/>
          <w:color w:val="000000"/>
        </w:rPr>
      </w:pPr>
      <w:r>
        <w:rPr>
          <w:rFonts w:hint="eastAsia"/>
          <w:b/>
          <w:color w:val="000000"/>
        </w:rPr>
        <w:t>2.3.6.2投标文件的送达</w:t>
      </w:r>
    </w:p>
    <w:p w14:paraId="3D022E37">
      <w:pPr>
        <w:pStyle w:val="58"/>
        <w:spacing w:line="360" w:lineRule="auto"/>
        <w:ind w:firstLine="420" w:firstLineChars="200"/>
        <w:rPr>
          <w:rFonts w:hint="eastAsia"/>
          <w:color w:val="000000"/>
        </w:rPr>
      </w:pPr>
      <w:r>
        <w:rPr>
          <w:rFonts w:hint="eastAsia"/>
          <w:color w:val="000000"/>
        </w:rPr>
        <w:t>投标人代表须在招标文件规定的接受投标时间内将投标文件送达规定的投标地点。在投标截止时间以后送达的投标文件，招标人拒绝接收。</w:t>
      </w:r>
    </w:p>
    <w:p w14:paraId="40F76473">
      <w:pPr>
        <w:pStyle w:val="58"/>
        <w:spacing w:line="360" w:lineRule="auto"/>
        <w:ind w:firstLine="422" w:firstLineChars="200"/>
        <w:rPr>
          <w:rFonts w:hint="eastAsia"/>
          <w:b/>
          <w:color w:val="000000"/>
        </w:rPr>
      </w:pPr>
      <w:r>
        <w:rPr>
          <w:rFonts w:hint="eastAsia"/>
          <w:b/>
          <w:color w:val="000000"/>
        </w:rPr>
        <w:t>2.3.6.3投标文件的补充、修改与撤回</w:t>
      </w:r>
    </w:p>
    <w:p w14:paraId="44D10315">
      <w:pPr>
        <w:pStyle w:val="58"/>
        <w:spacing w:line="360" w:lineRule="auto"/>
        <w:ind w:firstLine="420" w:firstLineChars="200"/>
        <w:rPr>
          <w:rFonts w:hint="eastAsia"/>
          <w:color w:val="000000"/>
        </w:rPr>
      </w:pPr>
      <w:r>
        <w:rPr>
          <w:rFonts w:hint="eastAsia"/>
          <w:color w:val="000000"/>
        </w:rPr>
        <w:t>（1）投标人可以在投标截止时间前，对已递交的投标文件进行补充、修改或者撤回，并以书面形式通知招标人。补充、修改和撤标要求须经招标人确认接受，否则无效。补充、修改的内容与投标文件不一致的，以补充、修改的内容为准。</w:t>
      </w:r>
    </w:p>
    <w:p w14:paraId="2F7D695B">
      <w:pPr>
        <w:pStyle w:val="58"/>
        <w:spacing w:line="360" w:lineRule="auto"/>
        <w:ind w:firstLine="420" w:firstLineChars="200"/>
        <w:rPr>
          <w:rFonts w:hint="eastAsia"/>
          <w:color w:val="000000"/>
        </w:rPr>
      </w:pPr>
      <w:r>
        <w:rPr>
          <w:rFonts w:hint="eastAsia"/>
          <w:color w:val="000000"/>
        </w:rPr>
        <w:t>（2）投标人撤回投标的书面通知应由投标人法定代表人或投标人代表签署，涉及补充、修改的，应在修改后签字（或人名章）、加盖公章，作为投标文件的组成部分，密封送达招标人，同时应在封套上标明“修改投标文件（并注明项目编号、包号）”和“开标时启封”字样。</w:t>
      </w:r>
    </w:p>
    <w:p w14:paraId="65DD39B0">
      <w:pPr>
        <w:pStyle w:val="58"/>
        <w:spacing w:line="360" w:lineRule="auto"/>
        <w:ind w:firstLine="420" w:firstLineChars="200"/>
        <w:rPr>
          <w:rFonts w:hint="eastAsia"/>
          <w:color w:val="000000"/>
        </w:rPr>
      </w:pPr>
      <w:r>
        <w:rPr>
          <w:rFonts w:hint="eastAsia"/>
          <w:color w:val="000000"/>
        </w:rPr>
        <w:t>（3）在投标截止时间之后，投标人撤回投标文件的，投标保证金不予退还。</w:t>
      </w:r>
    </w:p>
    <w:p w14:paraId="7548E786">
      <w:pPr>
        <w:pStyle w:val="3"/>
        <w:jc w:val="both"/>
        <w:rPr>
          <w:rFonts w:hint="eastAsia" w:ascii="黑体" w:hAnsi="黑体"/>
          <w:bCs/>
          <w:color w:val="000000"/>
        </w:rPr>
      </w:pPr>
      <w:bookmarkStart w:id="15" w:name="_Toc26727"/>
      <w:r>
        <w:rPr>
          <w:rFonts w:hint="eastAsia" w:ascii="黑体" w:hAnsi="黑体"/>
          <w:bCs/>
          <w:color w:val="000000"/>
        </w:rPr>
        <w:t>2.4 开标步骤和要求</w:t>
      </w:r>
      <w:bookmarkEnd w:id="15"/>
    </w:p>
    <w:p w14:paraId="5D401235">
      <w:pPr>
        <w:pStyle w:val="58"/>
        <w:tabs>
          <w:tab w:val="left" w:pos="709"/>
        </w:tabs>
        <w:spacing w:line="360" w:lineRule="auto"/>
        <w:ind w:firstLine="420" w:firstLineChars="200"/>
        <w:rPr>
          <w:rFonts w:hint="eastAsia"/>
          <w:color w:val="000000"/>
        </w:rPr>
      </w:pPr>
      <w:r>
        <w:rPr>
          <w:rFonts w:hint="eastAsia"/>
          <w:color w:val="000000"/>
        </w:rPr>
        <w:t>1.招标人在招标文件规定的开标时间和地点举行开标会议。</w:t>
      </w:r>
    </w:p>
    <w:p w14:paraId="7517B767">
      <w:pPr>
        <w:pStyle w:val="58"/>
        <w:tabs>
          <w:tab w:val="left" w:pos="709"/>
        </w:tabs>
        <w:spacing w:line="360" w:lineRule="auto"/>
        <w:ind w:firstLine="420" w:firstLineChars="200"/>
        <w:rPr>
          <w:rFonts w:hint="eastAsia"/>
          <w:color w:val="000000"/>
        </w:rPr>
      </w:pPr>
      <w:r>
        <w:rPr>
          <w:rFonts w:hint="eastAsia"/>
          <w:color w:val="000000"/>
        </w:rPr>
        <w:t>2.</w:t>
      </w:r>
      <w:r>
        <w:rPr>
          <w:rFonts w:hint="eastAsia"/>
          <w:b/>
          <w:color w:val="000000"/>
        </w:rPr>
        <w:t>参加开标会议的投标人代表须出示本人有效身份证明（个人身份证、护照等）在签到表上签字。如投标人代表不是法定代表人本人的还须出示《法定代表人授权委托书》。</w:t>
      </w:r>
    </w:p>
    <w:p w14:paraId="4C47F0CD">
      <w:pPr>
        <w:pStyle w:val="58"/>
        <w:tabs>
          <w:tab w:val="left" w:pos="709"/>
        </w:tabs>
        <w:spacing w:line="360" w:lineRule="auto"/>
        <w:ind w:firstLine="420" w:firstLineChars="200"/>
        <w:rPr>
          <w:rFonts w:hint="eastAsia"/>
          <w:color w:val="000000"/>
        </w:rPr>
      </w:pPr>
      <w:r>
        <w:rPr>
          <w:rFonts w:hint="eastAsia"/>
          <w:color w:val="000000"/>
        </w:rPr>
        <w:t>3.</w:t>
      </w:r>
      <w:r>
        <w:rPr>
          <w:rFonts w:hint="eastAsia"/>
          <w:b/>
          <w:color w:val="000000"/>
        </w:rPr>
        <w:t>招标人的工作人员与投标人代表共同查验投标文件的密封情况，双方确认无误后，由招标人的工作人员拆封开标一览表及投标文件数据包，并使用开标一览表进行唱标。</w:t>
      </w:r>
      <w:r>
        <w:rPr>
          <w:rFonts w:hint="eastAsia"/>
          <w:color w:val="000000"/>
        </w:rPr>
        <w:t>唱标以签到表的签到时间先后为序进行，先到者先唱。</w:t>
      </w:r>
    </w:p>
    <w:p w14:paraId="14827639">
      <w:pPr>
        <w:pStyle w:val="58"/>
        <w:tabs>
          <w:tab w:val="left" w:pos="709"/>
        </w:tabs>
        <w:spacing w:line="360" w:lineRule="auto"/>
        <w:ind w:firstLine="420" w:firstLineChars="200"/>
        <w:rPr>
          <w:rFonts w:hint="eastAsia"/>
          <w:color w:val="000000"/>
        </w:rPr>
      </w:pPr>
      <w:r>
        <w:rPr>
          <w:rFonts w:hint="eastAsia"/>
          <w:color w:val="000000"/>
        </w:rPr>
        <w:t>4.唱标时，</w:t>
      </w:r>
      <w:r>
        <w:rPr>
          <w:rFonts w:hint="eastAsia"/>
          <w:b/>
          <w:color w:val="000000"/>
        </w:rPr>
        <w:t>招标人的工作人员</w:t>
      </w:r>
      <w:r>
        <w:rPr>
          <w:rFonts w:hint="eastAsia"/>
          <w:color w:val="000000"/>
        </w:rPr>
        <w:t>当众宣读开标一览表中投标人名称、所投包号（如有）、投标总价和特别说明事项。投标人若有报价和优惠未被唱出，应在开标时及时声明或提请注意，否则招标人对此不承担任何责任。</w:t>
      </w:r>
    </w:p>
    <w:p w14:paraId="76625722">
      <w:pPr>
        <w:pStyle w:val="58"/>
        <w:tabs>
          <w:tab w:val="left" w:pos="709"/>
        </w:tabs>
        <w:spacing w:line="360" w:lineRule="auto"/>
        <w:ind w:firstLine="420" w:firstLineChars="200"/>
        <w:rPr>
          <w:rFonts w:hint="eastAsia"/>
          <w:color w:val="000000"/>
        </w:rPr>
      </w:pPr>
      <w:r>
        <w:rPr>
          <w:rFonts w:hint="eastAsia"/>
          <w:color w:val="000000"/>
        </w:rPr>
        <w:t>5.</w:t>
      </w:r>
      <w:r>
        <w:rPr>
          <w:rFonts w:hint="eastAsia"/>
          <w:b/>
          <w:color w:val="000000"/>
        </w:rPr>
        <w:t>招标人</w:t>
      </w:r>
      <w:r>
        <w:rPr>
          <w:rFonts w:hint="eastAsia"/>
          <w:color w:val="000000"/>
        </w:rPr>
        <w:t>将对开标结果进行记录并在开标结束后由投标人代表签字确认。</w:t>
      </w:r>
    </w:p>
    <w:p w14:paraId="5C02BCD2">
      <w:pPr>
        <w:pStyle w:val="58"/>
        <w:tabs>
          <w:tab w:val="left" w:pos="709"/>
        </w:tabs>
        <w:spacing w:line="360" w:lineRule="auto"/>
        <w:ind w:firstLine="420" w:firstLineChars="200"/>
        <w:rPr>
          <w:rFonts w:hint="eastAsia"/>
          <w:b/>
          <w:color w:val="000000"/>
        </w:rPr>
      </w:pPr>
      <w:r>
        <w:rPr>
          <w:rFonts w:hint="eastAsia"/>
          <w:color w:val="000000"/>
        </w:rPr>
        <w:t>6.投标人如对开标现场情况存在疑问，应当在开标现场提出，招标人应当当场作出答复，并制作记录。投标人签署《开标报价记录表》后，则为认可开标结果，开标会议结束之后招标人不再受理相关疑义。投标人代表未参加开标会议的，视同认可开标结果。</w:t>
      </w:r>
    </w:p>
    <w:p w14:paraId="5ED08885">
      <w:pPr>
        <w:pStyle w:val="3"/>
        <w:jc w:val="both"/>
        <w:rPr>
          <w:rFonts w:hint="eastAsia" w:ascii="黑体" w:hAnsi="黑体"/>
          <w:bCs/>
          <w:color w:val="000000"/>
        </w:rPr>
      </w:pPr>
      <w:bookmarkStart w:id="16" w:name="_Toc11881"/>
      <w:r>
        <w:rPr>
          <w:rFonts w:hint="eastAsia" w:ascii="黑体" w:hAnsi="黑体"/>
          <w:bCs/>
          <w:color w:val="000000"/>
        </w:rPr>
        <w:t>2.5 评标步骤和要求</w:t>
      </w:r>
      <w:bookmarkEnd w:id="16"/>
    </w:p>
    <w:p w14:paraId="1FB1812C">
      <w:pPr>
        <w:pStyle w:val="58"/>
        <w:tabs>
          <w:tab w:val="left" w:pos="709"/>
        </w:tabs>
        <w:spacing w:line="360" w:lineRule="auto"/>
        <w:ind w:firstLine="422" w:firstLineChars="200"/>
        <w:rPr>
          <w:rFonts w:hint="eastAsia"/>
          <w:b/>
          <w:color w:val="000000"/>
        </w:rPr>
      </w:pPr>
      <w:r>
        <w:rPr>
          <w:rFonts w:hint="eastAsia"/>
          <w:b/>
          <w:color w:val="000000"/>
        </w:rPr>
        <w:t>1．组建评标委员会</w:t>
      </w:r>
    </w:p>
    <w:p w14:paraId="0B2CC498">
      <w:pPr>
        <w:pStyle w:val="58"/>
        <w:tabs>
          <w:tab w:val="left" w:pos="709"/>
        </w:tabs>
        <w:spacing w:line="360" w:lineRule="auto"/>
        <w:ind w:firstLine="420" w:firstLineChars="200"/>
        <w:rPr>
          <w:rFonts w:hint="eastAsia"/>
          <w:color w:val="000000"/>
        </w:rPr>
      </w:pPr>
      <w:r>
        <w:rPr>
          <w:rFonts w:hint="eastAsia"/>
          <w:color w:val="000000"/>
        </w:rPr>
        <w:t>招标人根据有关法律法规和本招标文件的规定，结合本招标项目的特点组建评标委员会，对有效的投标文件进行评审。</w:t>
      </w:r>
    </w:p>
    <w:p w14:paraId="1EC723B7">
      <w:pPr>
        <w:pStyle w:val="58"/>
        <w:tabs>
          <w:tab w:val="left" w:pos="709"/>
        </w:tabs>
        <w:spacing w:line="360" w:lineRule="auto"/>
        <w:ind w:firstLine="422" w:firstLineChars="200"/>
        <w:rPr>
          <w:rFonts w:hint="eastAsia"/>
          <w:b/>
          <w:color w:val="000000"/>
        </w:rPr>
      </w:pPr>
      <w:r>
        <w:rPr>
          <w:rFonts w:hint="eastAsia"/>
          <w:b/>
          <w:color w:val="000000"/>
        </w:rPr>
        <w:t>2．对投标文件的评审</w:t>
      </w:r>
    </w:p>
    <w:p w14:paraId="1914D3E5">
      <w:pPr>
        <w:pStyle w:val="58"/>
        <w:tabs>
          <w:tab w:val="left" w:pos="709"/>
        </w:tabs>
        <w:spacing w:line="360" w:lineRule="auto"/>
        <w:ind w:firstLine="420" w:firstLineChars="200"/>
        <w:rPr>
          <w:rFonts w:hint="eastAsia"/>
          <w:color w:val="000000"/>
        </w:rPr>
      </w:pPr>
      <w:r>
        <w:rPr>
          <w:rFonts w:hint="eastAsia"/>
          <w:color w:val="000000"/>
        </w:rPr>
        <w:t>评标委员会只对有效的投标文件进行评审；在评审过程中被评标委员会认定为未实质性响应招标文件的投标文件将可能被拒绝。评审应严格按照招标文件的要求和条件进行；具体评审原则、方法和中标基本条件，见招标文件</w:t>
      </w:r>
      <w:r>
        <w:rPr>
          <w:rFonts w:hint="eastAsia"/>
          <w:b/>
          <w:color w:val="000000"/>
        </w:rPr>
        <w:t>第三部分“评标标准和评标办法”</w:t>
      </w:r>
      <w:r>
        <w:rPr>
          <w:rFonts w:hint="eastAsia"/>
          <w:color w:val="000000"/>
        </w:rPr>
        <w:t>。</w:t>
      </w:r>
    </w:p>
    <w:p w14:paraId="2AEB84B3">
      <w:pPr>
        <w:pStyle w:val="58"/>
        <w:tabs>
          <w:tab w:val="left" w:pos="709"/>
        </w:tabs>
        <w:spacing w:line="360" w:lineRule="auto"/>
        <w:ind w:firstLine="422" w:firstLineChars="200"/>
        <w:rPr>
          <w:rFonts w:hint="eastAsia"/>
          <w:b/>
          <w:bCs/>
          <w:color w:val="000000"/>
        </w:rPr>
      </w:pPr>
      <w:r>
        <w:rPr>
          <w:rFonts w:hint="eastAsia"/>
          <w:b/>
          <w:bCs/>
          <w:color w:val="000000"/>
        </w:rPr>
        <w:t>3．投标文件的澄清</w:t>
      </w:r>
    </w:p>
    <w:p w14:paraId="13C47C6C">
      <w:pPr>
        <w:pStyle w:val="58"/>
        <w:tabs>
          <w:tab w:val="left" w:pos="709"/>
        </w:tabs>
        <w:spacing w:line="360" w:lineRule="auto"/>
        <w:ind w:firstLine="420" w:firstLineChars="200"/>
        <w:rPr>
          <w:rFonts w:hint="eastAsia"/>
          <w:color w:val="000000"/>
        </w:rPr>
      </w:pPr>
      <w:r>
        <w:rPr>
          <w:rFonts w:hint="eastAsia"/>
          <w:color w:val="000000"/>
        </w:rPr>
        <w:t>评标委员会有权要求投标人对投标文件中含义不明确、对同类问题表述不一致或者有明显文字和计算错误等内容作必要的澄清、说明或者补正。投标人必须按照评标委员会通知的内容在规定的时间内作出书面答复，该书面答复须加盖公章或者由法定代表人或其授权的代表签字（或人名章）。由授权代表签字（或人名章）的，应当附法定代表人授权书，书面答复将会成为投标文件的一部分。投标人拒不按照要求对投标文件进行澄清、说明或者补正的，评标委员会可拒绝其投标。</w:t>
      </w:r>
    </w:p>
    <w:p w14:paraId="7EA7151C">
      <w:pPr>
        <w:pStyle w:val="58"/>
        <w:tabs>
          <w:tab w:val="left" w:pos="709"/>
        </w:tabs>
        <w:spacing w:line="360" w:lineRule="auto"/>
        <w:ind w:firstLine="420" w:firstLineChars="200"/>
        <w:rPr>
          <w:rFonts w:hint="eastAsia"/>
          <w:color w:val="000000"/>
        </w:rPr>
      </w:pPr>
      <w:r>
        <w:rPr>
          <w:rFonts w:hint="eastAsia"/>
          <w:color w:val="000000"/>
        </w:rPr>
        <w:t>如评标委员会一致认为某个投标人的报价明显不合理，有降低质量、不能诚信履行的可能时，评标委员会有权通知投标人在规定的时间内进行书面解释或提供相关证明材料。若该投标人在规定时间内未作出解释、作出的解释不合理或不能提供证明材料的，评标委员会可拒绝其投标。</w:t>
      </w:r>
    </w:p>
    <w:p w14:paraId="42BEE852">
      <w:pPr>
        <w:pStyle w:val="58"/>
        <w:tabs>
          <w:tab w:val="left" w:pos="709"/>
        </w:tabs>
        <w:spacing w:line="360" w:lineRule="auto"/>
        <w:ind w:firstLine="422" w:firstLineChars="200"/>
        <w:rPr>
          <w:rFonts w:hint="eastAsia"/>
          <w:b/>
          <w:bCs/>
          <w:color w:val="000000"/>
        </w:rPr>
      </w:pPr>
      <w:r>
        <w:rPr>
          <w:rFonts w:hint="eastAsia"/>
          <w:b/>
          <w:bCs/>
          <w:color w:val="000000"/>
        </w:rPr>
        <w:t>4．中标人的确定</w:t>
      </w:r>
    </w:p>
    <w:p w14:paraId="01231E49">
      <w:pPr>
        <w:pStyle w:val="58"/>
        <w:tabs>
          <w:tab w:val="left" w:pos="709"/>
        </w:tabs>
        <w:spacing w:line="360" w:lineRule="auto"/>
        <w:ind w:firstLine="420" w:firstLineChars="200"/>
        <w:rPr>
          <w:rFonts w:hint="eastAsia"/>
          <w:color w:val="000000"/>
        </w:rPr>
      </w:pPr>
      <w:r>
        <w:rPr>
          <w:rFonts w:hint="eastAsia"/>
          <w:color w:val="000000"/>
        </w:rPr>
        <w:t>评标委员会完成评标工作后，向招标人提交书面评标报告，并推荐合格的中标候选人。招标人根据评标委员会提交的书面评标报告和推荐的中标候选人确定最终中标人名单。</w:t>
      </w:r>
    </w:p>
    <w:p w14:paraId="36948A04">
      <w:pPr>
        <w:pStyle w:val="58"/>
        <w:tabs>
          <w:tab w:val="left" w:pos="709"/>
        </w:tabs>
        <w:spacing w:line="360" w:lineRule="auto"/>
        <w:ind w:firstLine="422" w:firstLineChars="200"/>
        <w:rPr>
          <w:rFonts w:hint="eastAsia"/>
          <w:b/>
          <w:color w:val="000000"/>
        </w:rPr>
      </w:pPr>
      <w:r>
        <w:rPr>
          <w:rFonts w:hint="eastAsia"/>
          <w:b/>
          <w:color w:val="000000"/>
        </w:rPr>
        <w:t>5．保密的规定</w:t>
      </w:r>
    </w:p>
    <w:p w14:paraId="4B8A9409">
      <w:pPr>
        <w:pStyle w:val="58"/>
        <w:tabs>
          <w:tab w:val="left" w:pos="709"/>
        </w:tabs>
        <w:spacing w:line="360" w:lineRule="auto"/>
        <w:ind w:firstLine="420" w:firstLineChars="200"/>
        <w:rPr>
          <w:rFonts w:hint="eastAsia"/>
          <w:color w:val="000000"/>
        </w:rPr>
      </w:pPr>
      <w:r>
        <w:rPr>
          <w:rFonts w:hint="eastAsia"/>
          <w:color w:val="000000"/>
        </w:rPr>
        <w:t>评标工作在严格保密的情况下进行，任何单位和个人不得非法干预、影响评标的过程和结果。评标委员会成员和参与评标的有关工作人员不得透露对投标文件的评审和比较、中标候选人的推荐情况以及与评标有关的其他情况。</w:t>
      </w:r>
    </w:p>
    <w:p w14:paraId="1106D98C">
      <w:pPr>
        <w:pStyle w:val="58"/>
        <w:tabs>
          <w:tab w:val="left" w:pos="709"/>
        </w:tabs>
        <w:spacing w:line="360" w:lineRule="auto"/>
        <w:ind w:firstLine="420" w:firstLineChars="200"/>
        <w:rPr>
          <w:rFonts w:hint="eastAsia"/>
          <w:color w:val="000000"/>
        </w:rPr>
      </w:pPr>
      <w:r>
        <w:rPr>
          <w:rFonts w:hint="eastAsia"/>
          <w:color w:val="000000"/>
        </w:rPr>
        <w:t>凡是与评标有关的一切资料，均不会向投标人或其他与评标无关的人员透露。在评标期间，投标人企图影响招标人或评标委员会的任何活动，均将导致其投标被拒绝，并由其承担相应的法律责任。</w:t>
      </w:r>
    </w:p>
    <w:p w14:paraId="0A0C86C2">
      <w:pPr>
        <w:pStyle w:val="58"/>
        <w:tabs>
          <w:tab w:val="left" w:pos="709"/>
        </w:tabs>
        <w:spacing w:line="360" w:lineRule="auto"/>
        <w:ind w:firstLine="422" w:firstLineChars="200"/>
        <w:rPr>
          <w:rFonts w:hint="eastAsia"/>
          <w:b/>
          <w:color w:val="000000"/>
        </w:rPr>
      </w:pPr>
      <w:r>
        <w:rPr>
          <w:rFonts w:hint="eastAsia"/>
          <w:b/>
          <w:color w:val="000000"/>
        </w:rPr>
        <w:t>6．废标</w:t>
      </w:r>
    </w:p>
    <w:p w14:paraId="01529C8B">
      <w:pPr>
        <w:pStyle w:val="58"/>
        <w:tabs>
          <w:tab w:val="left" w:pos="709"/>
        </w:tabs>
        <w:spacing w:line="360" w:lineRule="auto"/>
        <w:ind w:firstLine="420" w:firstLineChars="200"/>
        <w:rPr>
          <w:rFonts w:hint="eastAsia"/>
          <w:color w:val="000000"/>
        </w:rPr>
      </w:pPr>
      <w:r>
        <w:rPr>
          <w:rFonts w:hint="eastAsia"/>
          <w:color w:val="000000"/>
        </w:rPr>
        <w:t>出现下列情况之一时，招标人有权宣布废标，并通知所有投标人：</w:t>
      </w:r>
    </w:p>
    <w:p w14:paraId="3AEA9127">
      <w:pPr>
        <w:pStyle w:val="58"/>
        <w:tabs>
          <w:tab w:val="left" w:pos="709"/>
        </w:tabs>
        <w:spacing w:line="360" w:lineRule="auto"/>
        <w:ind w:firstLine="420" w:firstLineChars="200"/>
        <w:rPr>
          <w:rFonts w:hint="eastAsia"/>
          <w:color w:val="000000"/>
        </w:rPr>
      </w:pPr>
      <w:r>
        <w:rPr>
          <w:rFonts w:hint="eastAsia"/>
          <w:color w:val="000000"/>
        </w:rPr>
        <w:t>（1）招标过程中提交投标文件或者经评审实质性响应招标文件要求的供应商不足三家的；</w:t>
      </w:r>
    </w:p>
    <w:p w14:paraId="42C0B14F">
      <w:pPr>
        <w:pStyle w:val="58"/>
        <w:tabs>
          <w:tab w:val="left" w:pos="709"/>
        </w:tabs>
        <w:spacing w:line="360" w:lineRule="auto"/>
        <w:ind w:firstLine="420" w:firstLineChars="200"/>
        <w:rPr>
          <w:rFonts w:hint="eastAsia"/>
          <w:color w:val="000000"/>
        </w:rPr>
      </w:pPr>
      <w:r>
        <w:rPr>
          <w:rFonts w:hint="eastAsia"/>
          <w:color w:val="000000"/>
        </w:rPr>
        <w:t>（2）出现影响采购公正的违法、违规行为的；</w:t>
      </w:r>
    </w:p>
    <w:p w14:paraId="6A84E26A">
      <w:pPr>
        <w:pStyle w:val="58"/>
        <w:tabs>
          <w:tab w:val="left" w:pos="709"/>
        </w:tabs>
        <w:spacing w:line="360" w:lineRule="auto"/>
        <w:ind w:firstLine="420" w:firstLineChars="200"/>
        <w:rPr>
          <w:rFonts w:hint="eastAsia"/>
          <w:color w:val="000000"/>
        </w:rPr>
      </w:pPr>
      <w:r>
        <w:rPr>
          <w:rFonts w:hint="eastAsia"/>
          <w:color w:val="000000"/>
        </w:rPr>
        <w:t>（3）投标人的报价均超过了采购预算，招标人不能支付的；</w:t>
      </w:r>
    </w:p>
    <w:p w14:paraId="36EF8E13">
      <w:pPr>
        <w:pStyle w:val="58"/>
        <w:tabs>
          <w:tab w:val="left" w:pos="709"/>
        </w:tabs>
        <w:spacing w:line="360" w:lineRule="auto"/>
        <w:ind w:firstLine="420" w:firstLineChars="200"/>
        <w:rPr>
          <w:rFonts w:hint="eastAsia"/>
          <w:color w:val="000000"/>
        </w:rPr>
      </w:pPr>
      <w:r>
        <w:rPr>
          <w:rFonts w:hint="eastAsia"/>
          <w:color w:val="000000"/>
        </w:rPr>
        <w:t>（4）因重大变故，采购任务取消的。</w:t>
      </w:r>
    </w:p>
    <w:p w14:paraId="36530DD5">
      <w:pPr>
        <w:pStyle w:val="3"/>
        <w:jc w:val="both"/>
        <w:rPr>
          <w:rFonts w:hint="eastAsia" w:ascii="黑体" w:hAnsi="黑体"/>
          <w:bCs/>
          <w:color w:val="000000"/>
        </w:rPr>
      </w:pPr>
      <w:bookmarkStart w:id="17" w:name="_Toc12949"/>
      <w:r>
        <w:rPr>
          <w:rFonts w:hint="eastAsia" w:ascii="黑体" w:hAnsi="黑体"/>
          <w:bCs/>
          <w:color w:val="000000"/>
        </w:rPr>
        <w:t>2.6 中标及合同签署要求</w:t>
      </w:r>
      <w:bookmarkEnd w:id="17"/>
    </w:p>
    <w:p w14:paraId="44B4C70F">
      <w:pPr>
        <w:pStyle w:val="58"/>
        <w:tabs>
          <w:tab w:val="left" w:pos="709"/>
        </w:tabs>
        <w:spacing w:line="360" w:lineRule="auto"/>
        <w:ind w:firstLine="422" w:firstLineChars="200"/>
        <w:rPr>
          <w:rFonts w:hint="eastAsia"/>
          <w:b/>
          <w:color w:val="000000"/>
        </w:rPr>
      </w:pPr>
      <w:r>
        <w:rPr>
          <w:rFonts w:hint="eastAsia"/>
          <w:b/>
          <w:color w:val="000000"/>
        </w:rPr>
        <w:t>1．中标通知</w:t>
      </w:r>
    </w:p>
    <w:p w14:paraId="54D4863B">
      <w:pPr>
        <w:pStyle w:val="58"/>
        <w:tabs>
          <w:tab w:val="left" w:pos="709"/>
        </w:tabs>
        <w:spacing w:line="360" w:lineRule="auto"/>
        <w:ind w:firstLine="420" w:firstLineChars="200"/>
        <w:rPr>
          <w:rFonts w:hint="eastAsia"/>
          <w:color w:val="000000"/>
        </w:rPr>
      </w:pPr>
      <w:r>
        <w:rPr>
          <w:rFonts w:hint="eastAsia"/>
          <w:color w:val="000000"/>
        </w:rPr>
        <w:t>（1）中标候选人确定后，招标人将在</w:t>
      </w:r>
      <w:r>
        <w:rPr>
          <w:rFonts w:hint="eastAsia"/>
          <w:color w:val="000000"/>
          <w:lang w:val="en-US" w:eastAsia="zh-CN"/>
        </w:rPr>
        <w:t>中国机械总院官网</w:t>
      </w:r>
      <w:r>
        <w:rPr>
          <w:rFonts w:hint="eastAsia"/>
          <w:color w:val="000000"/>
        </w:rPr>
        <w:t>发布中标候选人公示。</w:t>
      </w:r>
    </w:p>
    <w:p w14:paraId="786D75AD">
      <w:pPr>
        <w:pStyle w:val="58"/>
        <w:tabs>
          <w:tab w:val="left" w:pos="709"/>
        </w:tabs>
        <w:spacing w:line="360" w:lineRule="auto"/>
        <w:ind w:firstLine="420" w:firstLineChars="200"/>
        <w:rPr>
          <w:rFonts w:hint="eastAsia"/>
          <w:color w:val="000000"/>
        </w:rPr>
      </w:pPr>
      <w:r>
        <w:rPr>
          <w:rFonts w:hint="eastAsia"/>
          <w:color w:val="000000"/>
        </w:rPr>
        <w:t>（2）中标人候选人公示期结束后，招标人根据公示结果确定中标人，并在</w:t>
      </w:r>
      <w:r>
        <w:rPr>
          <w:rFonts w:hint="eastAsia"/>
          <w:color w:val="000000"/>
          <w:lang w:val="en-US" w:eastAsia="zh-CN"/>
        </w:rPr>
        <w:t>中国机械总院官网</w:t>
      </w:r>
      <w:r>
        <w:rPr>
          <w:rFonts w:hint="eastAsia"/>
          <w:color w:val="000000"/>
        </w:rPr>
        <w:t>发布中标结果公告。</w:t>
      </w:r>
    </w:p>
    <w:p w14:paraId="7A68436C">
      <w:pPr>
        <w:pStyle w:val="58"/>
        <w:tabs>
          <w:tab w:val="left" w:pos="709"/>
        </w:tabs>
        <w:spacing w:line="360" w:lineRule="auto"/>
        <w:ind w:firstLine="420" w:firstLineChars="200"/>
        <w:rPr>
          <w:rFonts w:hint="eastAsia"/>
          <w:color w:val="000000"/>
        </w:rPr>
      </w:pPr>
      <w:r>
        <w:rPr>
          <w:rFonts w:hint="eastAsia"/>
          <w:color w:val="000000"/>
        </w:rPr>
        <w:t>（3）招标人对未中标的投标人不作未中标原因的解释。</w:t>
      </w:r>
    </w:p>
    <w:p w14:paraId="64DB20B7">
      <w:pPr>
        <w:pStyle w:val="58"/>
        <w:tabs>
          <w:tab w:val="left" w:pos="709"/>
        </w:tabs>
        <w:spacing w:line="360" w:lineRule="auto"/>
        <w:ind w:firstLine="420" w:firstLineChars="200"/>
        <w:rPr>
          <w:rFonts w:hint="eastAsia"/>
          <w:color w:val="000000"/>
        </w:rPr>
      </w:pPr>
      <w:r>
        <w:rPr>
          <w:rFonts w:hint="eastAsia"/>
          <w:color w:val="000000"/>
        </w:rPr>
        <w:t>（4）</w:t>
      </w:r>
      <w:r>
        <w:rPr>
          <w:rFonts w:ascii="Times New Roman" w:hAnsi="Times New Roman"/>
          <w:color w:val="000000"/>
        </w:rPr>
        <w:t>发布中标结果公告的同时发出中标结果通知书</w:t>
      </w:r>
      <w:r>
        <w:rPr>
          <w:rFonts w:hint="eastAsia"/>
          <w:color w:val="000000"/>
        </w:rPr>
        <w:t>，是作为签订合同的主要依据。</w:t>
      </w:r>
      <w:r>
        <w:rPr>
          <w:rFonts w:ascii="Times New Roman" w:hAnsi="Times New Roman"/>
          <w:color w:val="000000"/>
        </w:rPr>
        <w:t>中标通知书</w:t>
      </w:r>
      <w:r>
        <w:rPr>
          <w:rFonts w:hint="eastAsia"/>
          <w:color w:val="000000"/>
        </w:rPr>
        <w:t>发出后，中标人放弃中标项目的，应当依法承担法律责任。如中标人对合同主要条款提出变更或提出令招标人难以接受的附加条款，则招标人有权取消中标结果，没收投标保证金，并由中标人承担由此引起的有关法律责任及经济损失。</w:t>
      </w:r>
    </w:p>
    <w:p w14:paraId="07652358">
      <w:pPr>
        <w:pStyle w:val="58"/>
        <w:tabs>
          <w:tab w:val="left" w:pos="709"/>
        </w:tabs>
        <w:spacing w:line="360" w:lineRule="auto"/>
        <w:ind w:firstLine="422" w:firstLineChars="200"/>
        <w:rPr>
          <w:rFonts w:hint="eastAsia"/>
          <w:b/>
          <w:color w:val="000000"/>
        </w:rPr>
      </w:pPr>
      <w:r>
        <w:rPr>
          <w:rFonts w:hint="eastAsia"/>
          <w:b/>
          <w:color w:val="000000"/>
        </w:rPr>
        <w:t>2．签订合同</w:t>
      </w:r>
    </w:p>
    <w:p w14:paraId="29168B04">
      <w:pPr>
        <w:pStyle w:val="58"/>
        <w:tabs>
          <w:tab w:val="left" w:pos="709"/>
        </w:tabs>
        <w:spacing w:line="360" w:lineRule="auto"/>
        <w:ind w:firstLine="420" w:firstLineChars="200"/>
        <w:rPr>
          <w:rFonts w:hint="eastAsia"/>
          <w:color w:val="000000"/>
        </w:rPr>
      </w:pPr>
      <w:r>
        <w:rPr>
          <w:rFonts w:hint="eastAsia"/>
          <w:color w:val="000000"/>
        </w:rPr>
        <w:t>（1）招标文件附件《合同文本》是招标人和中标人签署合同的基本依据。招标人保留对《合同文本》中相关条款进行修改完善的权利。</w:t>
      </w:r>
    </w:p>
    <w:p w14:paraId="22488C4A">
      <w:pPr>
        <w:pStyle w:val="58"/>
        <w:tabs>
          <w:tab w:val="left" w:pos="709"/>
        </w:tabs>
        <w:spacing w:line="360" w:lineRule="auto"/>
        <w:ind w:firstLine="420" w:firstLineChars="200"/>
        <w:rPr>
          <w:rFonts w:hint="eastAsia"/>
          <w:color w:val="000000"/>
        </w:rPr>
      </w:pPr>
      <w:r>
        <w:rPr>
          <w:rFonts w:hint="eastAsia"/>
          <w:color w:val="000000"/>
        </w:rPr>
        <w:t>（2）中标人应按招标人规定的时间、地点与招标人签订合同。</w:t>
      </w:r>
    </w:p>
    <w:p w14:paraId="262DDD2F">
      <w:pPr>
        <w:pStyle w:val="58"/>
        <w:tabs>
          <w:tab w:val="left" w:pos="709"/>
        </w:tabs>
        <w:spacing w:line="360" w:lineRule="auto"/>
        <w:ind w:firstLine="420" w:firstLineChars="200"/>
        <w:rPr>
          <w:rFonts w:hint="eastAsia"/>
          <w:color w:val="000000"/>
        </w:rPr>
      </w:pPr>
      <w:r>
        <w:rPr>
          <w:rFonts w:hint="eastAsia"/>
          <w:color w:val="000000"/>
        </w:rPr>
        <w:t>（3）中标人应履行其在投标文件及评标过程中有关澄清、说明或者补正文件中的相关承诺，与招标人签订书面合同。中标人不得提出与招标人签订背离合同实质性内容的其他协议或声明。</w:t>
      </w:r>
    </w:p>
    <w:p w14:paraId="56D66F9C">
      <w:pPr>
        <w:pStyle w:val="3"/>
        <w:jc w:val="both"/>
        <w:rPr>
          <w:rFonts w:hint="eastAsia" w:ascii="黑体" w:hAnsi="黑体"/>
          <w:bCs/>
          <w:color w:val="000000"/>
        </w:rPr>
      </w:pPr>
      <w:bookmarkStart w:id="18" w:name="_Toc14125"/>
      <w:r>
        <w:rPr>
          <w:rFonts w:hint="eastAsia" w:ascii="黑体" w:hAnsi="黑体"/>
          <w:bCs/>
          <w:color w:val="000000"/>
        </w:rPr>
        <w:t>2.7 处罚、询问和质疑</w:t>
      </w:r>
      <w:bookmarkEnd w:id="18"/>
    </w:p>
    <w:p w14:paraId="5CA5492A">
      <w:pPr>
        <w:pStyle w:val="58"/>
        <w:tabs>
          <w:tab w:val="left" w:pos="709"/>
        </w:tabs>
        <w:spacing w:line="360" w:lineRule="auto"/>
        <w:ind w:firstLine="420" w:firstLineChars="200"/>
        <w:rPr>
          <w:rFonts w:hint="eastAsia"/>
          <w:color w:val="000000"/>
        </w:rPr>
      </w:pPr>
      <w:r>
        <w:rPr>
          <w:rFonts w:hint="eastAsia"/>
          <w:color w:val="000000"/>
        </w:rPr>
        <w:t>1.发生下列情况之一，投标人的投标保证金将不予退还，并将被列入招标人不良记录名单，投标人今后参与招标人组织的采购项目的机会可能会受到影响：</w:t>
      </w:r>
    </w:p>
    <w:p w14:paraId="49FE852C">
      <w:pPr>
        <w:pStyle w:val="58"/>
        <w:tabs>
          <w:tab w:val="left" w:pos="709"/>
        </w:tabs>
        <w:spacing w:line="360" w:lineRule="auto"/>
        <w:ind w:firstLine="420" w:firstLineChars="200"/>
        <w:rPr>
          <w:rFonts w:hint="eastAsia"/>
          <w:color w:val="000000"/>
        </w:rPr>
      </w:pPr>
      <w:r>
        <w:rPr>
          <w:rFonts w:hint="eastAsia"/>
          <w:color w:val="000000"/>
        </w:rPr>
        <w:t>（1）开标后在投标有效期内，投标人撤回其投标文件的；</w:t>
      </w:r>
    </w:p>
    <w:p w14:paraId="01A7AE64">
      <w:pPr>
        <w:pStyle w:val="58"/>
        <w:tabs>
          <w:tab w:val="left" w:pos="709"/>
        </w:tabs>
        <w:spacing w:line="360" w:lineRule="auto"/>
        <w:ind w:firstLine="420" w:firstLineChars="200"/>
        <w:rPr>
          <w:rFonts w:hint="eastAsia"/>
          <w:color w:val="000000"/>
        </w:rPr>
      </w:pPr>
      <w:r>
        <w:rPr>
          <w:rFonts w:hint="eastAsia"/>
          <w:color w:val="000000"/>
        </w:rPr>
        <w:t>（2）投标人在投标文件中提供虚假材料的；</w:t>
      </w:r>
    </w:p>
    <w:p w14:paraId="4CDA26EE">
      <w:pPr>
        <w:pStyle w:val="58"/>
        <w:tabs>
          <w:tab w:val="left" w:pos="709"/>
        </w:tabs>
        <w:spacing w:line="360" w:lineRule="auto"/>
        <w:ind w:firstLine="420" w:firstLineChars="200"/>
        <w:rPr>
          <w:rFonts w:hint="eastAsia"/>
          <w:color w:val="000000"/>
        </w:rPr>
      </w:pPr>
      <w:r>
        <w:rPr>
          <w:rFonts w:hint="eastAsia"/>
          <w:color w:val="000000"/>
        </w:rPr>
        <w:t>（3）投标人不按照招标文件及投标承诺与招标人签订合同的；</w:t>
      </w:r>
    </w:p>
    <w:p w14:paraId="1B799698">
      <w:pPr>
        <w:pStyle w:val="58"/>
        <w:tabs>
          <w:tab w:val="left" w:pos="709"/>
        </w:tabs>
        <w:spacing w:line="360" w:lineRule="auto"/>
        <w:ind w:firstLine="420" w:firstLineChars="200"/>
        <w:rPr>
          <w:rFonts w:hint="eastAsia"/>
          <w:color w:val="000000"/>
        </w:rPr>
      </w:pPr>
      <w:r>
        <w:rPr>
          <w:rFonts w:hint="eastAsia"/>
          <w:color w:val="000000"/>
        </w:rPr>
        <w:t>（4）投标人与招标人、采购代理机构或其他投标人恶意串通的；</w:t>
      </w:r>
    </w:p>
    <w:p w14:paraId="04043FD3">
      <w:pPr>
        <w:pStyle w:val="58"/>
        <w:tabs>
          <w:tab w:val="left" w:pos="709"/>
        </w:tabs>
        <w:spacing w:line="360" w:lineRule="auto"/>
        <w:ind w:firstLine="420" w:firstLineChars="200"/>
        <w:rPr>
          <w:rFonts w:hint="eastAsia"/>
          <w:color w:val="000000"/>
        </w:rPr>
      </w:pPr>
      <w:r>
        <w:rPr>
          <w:rFonts w:hint="eastAsia"/>
          <w:color w:val="000000"/>
        </w:rPr>
        <w:t>（5）招标文件规定的其他情形。</w:t>
      </w:r>
    </w:p>
    <w:p w14:paraId="7788CF54">
      <w:pPr>
        <w:pStyle w:val="58"/>
        <w:tabs>
          <w:tab w:val="left" w:pos="709"/>
        </w:tabs>
        <w:spacing w:line="360" w:lineRule="auto"/>
        <w:ind w:firstLine="420" w:firstLineChars="200"/>
        <w:rPr>
          <w:rFonts w:hint="eastAsia"/>
          <w:color w:val="000000"/>
        </w:rPr>
      </w:pPr>
      <w:r>
        <w:rPr>
          <w:rFonts w:hint="eastAsia"/>
          <w:color w:val="000000"/>
        </w:rPr>
        <w:t>2.投标人或者其他利害关系人对招标项目的评标结果有异议的，应当在中标候选人公示期间一次性提出。所有质疑应当以书面形式提出，经投标人法定代表人签字（或人名章）、加盖公章，同时提供投标人加盖公章的营业执照复印件。招标人将在收到投标人书面质疑后及时审查质疑事项并作出答复，答复内容可能涉及被质疑人及招标人商业秘密的，答复中可不披露相关内容。</w:t>
      </w:r>
    </w:p>
    <w:p w14:paraId="4A2B4CB6">
      <w:pPr>
        <w:pStyle w:val="3"/>
        <w:jc w:val="both"/>
        <w:rPr>
          <w:rFonts w:hint="eastAsia" w:ascii="黑体" w:hAnsi="黑体"/>
          <w:bCs/>
          <w:color w:val="000000"/>
        </w:rPr>
      </w:pPr>
      <w:bookmarkStart w:id="19" w:name="_Toc31488"/>
      <w:r>
        <w:rPr>
          <w:rFonts w:hint="eastAsia" w:ascii="黑体" w:hAnsi="黑体"/>
          <w:bCs/>
          <w:color w:val="000000"/>
        </w:rPr>
        <w:t>2.8 保密和披露</w:t>
      </w:r>
      <w:bookmarkEnd w:id="19"/>
    </w:p>
    <w:p w14:paraId="0E3495BC">
      <w:pPr>
        <w:pStyle w:val="58"/>
        <w:tabs>
          <w:tab w:val="left" w:pos="709"/>
        </w:tabs>
        <w:spacing w:line="360" w:lineRule="auto"/>
        <w:ind w:firstLine="420" w:firstLineChars="200"/>
        <w:rPr>
          <w:rFonts w:hint="eastAsia"/>
          <w:color w:val="000000"/>
        </w:rPr>
      </w:pPr>
      <w:r>
        <w:rPr>
          <w:rFonts w:hint="eastAsia"/>
          <w:color w:val="000000"/>
        </w:rPr>
        <w:t>1.投标人自领取招标文件之日起，须承诺承担本招标项目下保密义务，不得将因本次招标获得的信息向第三人泄露。</w:t>
      </w:r>
    </w:p>
    <w:p w14:paraId="27A1463E">
      <w:pPr>
        <w:pStyle w:val="58"/>
        <w:tabs>
          <w:tab w:val="left" w:pos="709"/>
        </w:tabs>
        <w:spacing w:line="360" w:lineRule="auto"/>
        <w:ind w:firstLine="420" w:firstLineChars="200"/>
        <w:rPr>
          <w:rFonts w:hint="eastAsia"/>
          <w:color w:val="000000"/>
        </w:rPr>
      </w:pPr>
      <w:r>
        <w:rPr>
          <w:rFonts w:hint="eastAsia"/>
          <w:color w:val="000000"/>
        </w:rPr>
        <w:t>2.招标人有权将投标人提供的所有资料向有关部门或评审标书的有关人员披露。</w:t>
      </w:r>
    </w:p>
    <w:p w14:paraId="7E24D7CD">
      <w:pPr>
        <w:pStyle w:val="58"/>
        <w:tabs>
          <w:tab w:val="left" w:pos="709"/>
        </w:tabs>
        <w:spacing w:line="360" w:lineRule="auto"/>
        <w:ind w:firstLine="420" w:firstLineChars="200"/>
        <w:rPr>
          <w:rFonts w:hint="eastAsia"/>
          <w:color w:val="000000"/>
        </w:rPr>
      </w:pPr>
      <w:r>
        <w:rPr>
          <w:rFonts w:hint="eastAsia"/>
          <w:color w:val="000000"/>
        </w:rPr>
        <w:t>3.招标人有权在认为适当时，或在任何第三人提出要求（书面或其他方式）时，无须事先征求投标人同意而披露关于已订立合同的资料、投标人的名称及地址、投标货物的有关信息以及合同条款等。</w:t>
      </w:r>
    </w:p>
    <w:p w14:paraId="295F9A8B">
      <w:pPr>
        <w:pStyle w:val="58"/>
        <w:tabs>
          <w:tab w:val="left" w:pos="709"/>
        </w:tabs>
        <w:spacing w:line="360" w:lineRule="auto"/>
        <w:ind w:firstLine="420" w:firstLineChars="200"/>
        <w:rPr>
          <w:rFonts w:hint="eastAsia"/>
          <w:color w:val="000000"/>
        </w:rPr>
      </w:pPr>
    </w:p>
    <w:p w14:paraId="36719662">
      <w:pPr>
        <w:pStyle w:val="58"/>
        <w:tabs>
          <w:tab w:val="left" w:pos="709"/>
        </w:tabs>
        <w:spacing w:line="360" w:lineRule="auto"/>
        <w:rPr>
          <w:rFonts w:hint="eastAsia"/>
          <w:color w:val="000000"/>
        </w:rPr>
        <w:sectPr>
          <w:pgSz w:w="11906" w:h="16838"/>
          <w:pgMar w:top="1440" w:right="1080" w:bottom="1440" w:left="1080" w:header="851" w:footer="992" w:gutter="0"/>
          <w:cols w:space="720" w:num="1"/>
          <w:docGrid w:linePitch="286" w:charSpace="0"/>
        </w:sectPr>
      </w:pPr>
    </w:p>
    <w:p w14:paraId="436942C0">
      <w:pPr>
        <w:pStyle w:val="2"/>
        <w:rPr>
          <w:b w:val="0"/>
          <w:bCs w:val="0"/>
          <w:color w:val="000000"/>
        </w:rPr>
      </w:pPr>
      <w:bookmarkStart w:id="20" w:name="_Toc27622"/>
      <w:r>
        <w:rPr>
          <w:rFonts w:hint="eastAsia"/>
          <w:b w:val="0"/>
          <w:bCs w:val="0"/>
          <w:color w:val="000000"/>
        </w:rPr>
        <w:t>第三部分</w:t>
      </w:r>
      <w:r>
        <w:rPr>
          <w:b w:val="0"/>
          <w:bCs w:val="0"/>
          <w:color w:val="000000"/>
        </w:rPr>
        <w:t xml:space="preserve"> </w:t>
      </w:r>
      <w:r>
        <w:rPr>
          <w:rFonts w:hint="eastAsia"/>
          <w:b w:val="0"/>
          <w:bCs w:val="0"/>
          <w:color w:val="000000"/>
        </w:rPr>
        <w:t>评标标准和评标办法</w:t>
      </w:r>
      <w:bookmarkEnd w:id="20"/>
    </w:p>
    <w:p w14:paraId="27CF1DD9">
      <w:pPr>
        <w:pStyle w:val="3"/>
        <w:jc w:val="both"/>
        <w:rPr>
          <w:rFonts w:hint="eastAsia" w:ascii="黑体" w:hAnsi="黑体"/>
          <w:bCs/>
          <w:color w:val="000000"/>
        </w:rPr>
      </w:pPr>
      <w:bookmarkStart w:id="21" w:name="_Toc4227"/>
      <w:r>
        <w:rPr>
          <w:rFonts w:hint="eastAsia" w:ascii="黑体" w:hAnsi="黑体"/>
          <w:bCs/>
          <w:color w:val="000000"/>
        </w:rPr>
        <w:t>3.1 符合性审查要求</w:t>
      </w:r>
      <w:bookmarkEnd w:id="21"/>
    </w:p>
    <w:p w14:paraId="25461314">
      <w:pPr>
        <w:spacing w:line="360" w:lineRule="auto"/>
        <w:jc w:val="center"/>
        <w:rPr>
          <w:b/>
          <w:color w:val="000000"/>
        </w:rPr>
      </w:pPr>
      <w:r>
        <w:rPr>
          <w:rFonts w:hint="eastAsia"/>
          <w:b/>
          <w:color w:val="000000"/>
        </w:rPr>
        <w:t>（投标人如未提供下列任一材料的，符合性审查不通过，投标无效）</w:t>
      </w:r>
    </w:p>
    <w:tbl>
      <w:tblPr>
        <w:tblStyle w:val="26"/>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5303"/>
        <w:gridCol w:w="4051"/>
      </w:tblGrid>
      <w:tr w14:paraId="0727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1" w:type="pct"/>
            <w:gridSpan w:val="2"/>
            <w:tcBorders>
              <w:top w:val="single" w:color="auto" w:sz="4" w:space="0"/>
              <w:left w:val="single" w:color="auto" w:sz="4" w:space="0"/>
              <w:bottom w:val="single" w:color="auto" w:sz="4" w:space="0"/>
              <w:right w:val="single" w:color="auto" w:sz="4" w:space="0"/>
            </w:tcBorders>
            <w:vAlign w:val="center"/>
          </w:tcPr>
          <w:p w14:paraId="591FA9FB">
            <w:pPr>
              <w:adjustRightInd w:val="0"/>
              <w:snapToGrid w:val="0"/>
              <w:jc w:val="center"/>
              <w:rPr>
                <w:b/>
                <w:color w:val="000000"/>
              </w:rPr>
            </w:pPr>
            <w:r>
              <w:rPr>
                <w:rFonts w:hint="eastAsia"/>
                <w:b/>
                <w:color w:val="000000"/>
              </w:rPr>
              <w:t>符合性审查项目</w:t>
            </w:r>
          </w:p>
        </w:tc>
        <w:tc>
          <w:tcPr>
            <w:tcW w:w="2038" w:type="pct"/>
            <w:tcBorders>
              <w:top w:val="single" w:color="auto" w:sz="4" w:space="0"/>
              <w:left w:val="single" w:color="auto" w:sz="4" w:space="0"/>
              <w:bottom w:val="single" w:color="auto" w:sz="4" w:space="0"/>
              <w:right w:val="single" w:color="auto" w:sz="4" w:space="0"/>
            </w:tcBorders>
            <w:vAlign w:val="center"/>
          </w:tcPr>
          <w:p w14:paraId="00A84374">
            <w:pPr>
              <w:adjustRightInd w:val="0"/>
              <w:snapToGrid w:val="0"/>
              <w:jc w:val="center"/>
              <w:rPr>
                <w:b/>
                <w:color w:val="000000"/>
              </w:rPr>
            </w:pPr>
            <w:r>
              <w:rPr>
                <w:rFonts w:hint="eastAsia"/>
                <w:b/>
                <w:color w:val="000000"/>
              </w:rPr>
              <w:t>审查内容</w:t>
            </w:r>
          </w:p>
        </w:tc>
      </w:tr>
      <w:tr w14:paraId="163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27797657">
            <w:pPr>
              <w:adjustRightInd w:val="0"/>
              <w:snapToGrid w:val="0"/>
              <w:jc w:val="center"/>
              <w:rPr>
                <w:rFonts w:hint="eastAsia" w:ascii="宋体" w:hAnsi="宋体"/>
                <w:color w:val="000000"/>
              </w:rPr>
            </w:pPr>
            <w:r>
              <w:rPr>
                <w:rFonts w:ascii="宋体" w:hAnsi="宋体"/>
                <w:color w:val="000000"/>
              </w:rPr>
              <w:t>1</w:t>
            </w:r>
          </w:p>
        </w:tc>
        <w:tc>
          <w:tcPr>
            <w:tcW w:w="2667" w:type="pct"/>
            <w:tcBorders>
              <w:top w:val="single" w:color="auto" w:sz="4" w:space="0"/>
              <w:left w:val="single" w:color="auto" w:sz="4" w:space="0"/>
              <w:bottom w:val="single" w:color="auto" w:sz="4" w:space="0"/>
              <w:right w:val="single" w:color="auto" w:sz="4" w:space="0"/>
            </w:tcBorders>
            <w:vAlign w:val="center"/>
          </w:tcPr>
          <w:p w14:paraId="230553B3">
            <w:pPr>
              <w:adjustRightInd w:val="0"/>
              <w:snapToGrid w:val="0"/>
              <w:rPr>
                <w:rFonts w:hint="eastAsia" w:ascii="宋体" w:hAnsi="宋体"/>
                <w:color w:val="000000"/>
              </w:rPr>
            </w:pPr>
            <w:r>
              <w:rPr>
                <w:rFonts w:hint="eastAsia" w:ascii="宋体" w:hAnsi="宋体" w:cs="宋体"/>
                <w:szCs w:val="21"/>
              </w:rPr>
              <w:t>投标函</w:t>
            </w:r>
          </w:p>
        </w:tc>
        <w:tc>
          <w:tcPr>
            <w:tcW w:w="2038" w:type="pct"/>
            <w:tcBorders>
              <w:top w:val="single" w:color="auto" w:sz="4" w:space="0"/>
              <w:left w:val="single" w:color="auto" w:sz="4" w:space="0"/>
              <w:bottom w:val="single" w:color="auto" w:sz="4" w:space="0"/>
              <w:right w:val="single" w:color="auto" w:sz="4" w:space="0"/>
            </w:tcBorders>
            <w:vAlign w:val="center"/>
          </w:tcPr>
          <w:p w14:paraId="273844A3">
            <w:pPr>
              <w:adjustRightInd w:val="0"/>
              <w:snapToGrid w:val="0"/>
              <w:rPr>
                <w:rFonts w:hint="eastAsia" w:ascii="宋体" w:hAnsi="宋体" w:cs="宋体"/>
                <w:color w:val="000000"/>
                <w:szCs w:val="21"/>
              </w:rPr>
            </w:pPr>
            <w:r>
              <w:rPr>
                <w:rFonts w:hint="eastAsia" w:ascii="宋体" w:hAnsi="宋体"/>
                <w:lang w:bidi="ar"/>
              </w:rPr>
              <w:t>是否</w:t>
            </w:r>
            <w:r>
              <w:rPr>
                <w:rFonts w:hint="eastAsia" w:ascii="宋体" w:hAnsi="宋体" w:cs="宋体"/>
                <w:szCs w:val="21"/>
              </w:rPr>
              <w:t>完全承诺并签字（或人名章）盖章</w:t>
            </w:r>
          </w:p>
        </w:tc>
      </w:tr>
      <w:tr w14:paraId="196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7D9CEDBA">
            <w:pPr>
              <w:adjustRightInd w:val="0"/>
              <w:snapToGrid w:val="0"/>
              <w:jc w:val="center"/>
              <w:rPr>
                <w:rFonts w:hint="eastAsia" w:ascii="宋体" w:hAnsi="宋体"/>
                <w:color w:val="000000"/>
              </w:rPr>
            </w:pPr>
            <w:r>
              <w:rPr>
                <w:rFonts w:ascii="宋体" w:hAnsi="宋体"/>
                <w:color w:val="000000"/>
              </w:rPr>
              <w:t>2</w:t>
            </w:r>
          </w:p>
        </w:tc>
        <w:tc>
          <w:tcPr>
            <w:tcW w:w="2667" w:type="pct"/>
            <w:tcBorders>
              <w:top w:val="single" w:color="auto" w:sz="4" w:space="0"/>
              <w:left w:val="single" w:color="auto" w:sz="4" w:space="0"/>
              <w:bottom w:val="single" w:color="auto" w:sz="4" w:space="0"/>
              <w:right w:val="single" w:color="auto" w:sz="4" w:space="0"/>
            </w:tcBorders>
            <w:vAlign w:val="center"/>
          </w:tcPr>
          <w:p w14:paraId="6D5651B2">
            <w:pPr>
              <w:adjustRightInd w:val="0"/>
              <w:snapToGrid w:val="0"/>
              <w:rPr>
                <w:rFonts w:hint="eastAsia" w:ascii="宋体" w:hAnsi="宋体"/>
                <w:color w:val="000000"/>
              </w:rPr>
            </w:pPr>
            <w:r>
              <w:rPr>
                <w:rFonts w:hint="eastAsia" w:ascii="宋体" w:hAnsi="宋体"/>
              </w:rPr>
              <w:t>法定代表人授权委托书</w:t>
            </w:r>
          </w:p>
        </w:tc>
        <w:tc>
          <w:tcPr>
            <w:tcW w:w="2038" w:type="pct"/>
            <w:tcBorders>
              <w:top w:val="single" w:color="auto" w:sz="4" w:space="0"/>
              <w:left w:val="single" w:color="auto" w:sz="4" w:space="0"/>
              <w:bottom w:val="single" w:color="auto" w:sz="4" w:space="0"/>
              <w:right w:val="single" w:color="auto" w:sz="4" w:space="0"/>
            </w:tcBorders>
            <w:vAlign w:val="center"/>
          </w:tcPr>
          <w:p w14:paraId="4F1435CF">
            <w:pPr>
              <w:adjustRightInd w:val="0"/>
              <w:snapToGrid w:val="0"/>
              <w:rPr>
                <w:rFonts w:hint="eastAsia" w:ascii="宋体" w:hAnsi="宋体"/>
                <w:color w:val="000000"/>
              </w:rPr>
            </w:pPr>
            <w:r>
              <w:rPr>
                <w:rFonts w:hint="eastAsia" w:ascii="宋体" w:hAnsi="宋体"/>
                <w:lang w:bidi="ar"/>
              </w:rPr>
              <w:t>是否</w:t>
            </w:r>
            <w:r>
              <w:rPr>
                <w:rFonts w:hint="eastAsia" w:ascii="宋体" w:hAnsi="宋体"/>
              </w:rPr>
              <w:t>签字（或人名章）并盖章</w:t>
            </w:r>
          </w:p>
        </w:tc>
      </w:tr>
      <w:tr w14:paraId="302E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3E9D4286">
            <w:pPr>
              <w:adjustRightInd w:val="0"/>
              <w:snapToGrid w:val="0"/>
              <w:jc w:val="center"/>
              <w:rPr>
                <w:rFonts w:hint="eastAsia" w:ascii="宋体" w:hAnsi="宋体"/>
                <w:color w:val="000000"/>
              </w:rPr>
            </w:pPr>
            <w:r>
              <w:rPr>
                <w:rFonts w:ascii="宋体" w:hAnsi="宋体"/>
                <w:color w:val="000000"/>
              </w:rPr>
              <w:t>3</w:t>
            </w:r>
          </w:p>
        </w:tc>
        <w:tc>
          <w:tcPr>
            <w:tcW w:w="2667" w:type="pct"/>
            <w:tcBorders>
              <w:top w:val="single" w:color="auto" w:sz="4" w:space="0"/>
              <w:left w:val="single" w:color="auto" w:sz="4" w:space="0"/>
              <w:bottom w:val="single" w:color="auto" w:sz="4" w:space="0"/>
              <w:right w:val="single" w:color="auto" w:sz="4" w:space="0"/>
            </w:tcBorders>
            <w:vAlign w:val="center"/>
          </w:tcPr>
          <w:p w14:paraId="0DC66444">
            <w:pPr>
              <w:adjustRightInd w:val="0"/>
              <w:snapToGrid w:val="0"/>
              <w:rPr>
                <w:rFonts w:hint="eastAsia" w:ascii="宋体" w:hAnsi="宋体"/>
                <w:color w:val="000000"/>
              </w:rPr>
            </w:pPr>
            <w:r>
              <w:rPr>
                <w:rFonts w:hint="eastAsia" w:ascii="宋体" w:hAnsi="宋体"/>
              </w:rPr>
              <w:t>法人或者其他组织的营业执照等证明文件或自然人的身份证明</w:t>
            </w:r>
          </w:p>
        </w:tc>
        <w:tc>
          <w:tcPr>
            <w:tcW w:w="2038" w:type="pct"/>
            <w:tcBorders>
              <w:top w:val="single" w:color="auto" w:sz="4" w:space="0"/>
              <w:left w:val="single" w:color="auto" w:sz="4" w:space="0"/>
              <w:bottom w:val="single" w:color="auto" w:sz="4" w:space="0"/>
              <w:right w:val="single" w:color="auto" w:sz="4" w:space="0"/>
            </w:tcBorders>
            <w:vAlign w:val="center"/>
          </w:tcPr>
          <w:p w14:paraId="14B31BFC">
            <w:pPr>
              <w:adjustRightInd w:val="0"/>
              <w:snapToGrid w:val="0"/>
              <w:rPr>
                <w:rFonts w:hint="eastAsia" w:ascii="宋体" w:hAnsi="宋体"/>
                <w:color w:val="000000"/>
              </w:rPr>
            </w:pPr>
            <w:r>
              <w:rPr>
                <w:rFonts w:hint="eastAsia" w:ascii="宋体" w:hAnsi="宋体"/>
                <w:lang w:bidi="ar"/>
              </w:rPr>
              <w:t>是否提供</w:t>
            </w:r>
            <w:r>
              <w:rPr>
                <w:rFonts w:hint="eastAsia" w:ascii="宋体" w:hAnsi="宋体"/>
              </w:rPr>
              <w:t>营业执照复印件加盖公章、身份证明签字</w:t>
            </w:r>
          </w:p>
        </w:tc>
      </w:tr>
      <w:tr w14:paraId="3FBB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113625CD">
            <w:pPr>
              <w:adjustRightInd w:val="0"/>
              <w:snapToGrid w:val="0"/>
              <w:jc w:val="center"/>
              <w:rPr>
                <w:rFonts w:hint="eastAsia" w:ascii="宋体" w:hAnsi="宋体"/>
                <w:color w:val="000000"/>
              </w:rPr>
            </w:pPr>
            <w:r>
              <w:rPr>
                <w:rFonts w:ascii="宋体" w:hAnsi="宋体"/>
                <w:color w:val="000000"/>
              </w:rPr>
              <w:t>4</w:t>
            </w:r>
          </w:p>
        </w:tc>
        <w:tc>
          <w:tcPr>
            <w:tcW w:w="2667" w:type="pct"/>
            <w:tcBorders>
              <w:top w:val="single" w:color="auto" w:sz="4" w:space="0"/>
              <w:left w:val="single" w:color="auto" w:sz="4" w:space="0"/>
              <w:bottom w:val="single" w:color="auto" w:sz="4" w:space="0"/>
              <w:right w:val="single" w:color="auto" w:sz="4" w:space="0"/>
            </w:tcBorders>
            <w:vAlign w:val="center"/>
          </w:tcPr>
          <w:p w14:paraId="2467EC0C">
            <w:pPr>
              <w:adjustRightInd w:val="0"/>
              <w:snapToGrid w:val="0"/>
              <w:rPr>
                <w:rFonts w:hint="eastAsia" w:ascii="宋体" w:hAnsi="宋体"/>
                <w:color w:val="000000"/>
                <w:szCs w:val="20"/>
              </w:rPr>
            </w:pPr>
            <w:r>
              <w:rPr>
                <w:rFonts w:hint="eastAsia" w:ascii="宋体" w:hAnsi="宋体"/>
                <w:color w:val="000000"/>
              </w:rPr>
              <w:t>202</w:t>
            </w:r>
            <w:r>
              <w:rPr>
                <w:rFonts w:hint="eastAsia" w:ascii="宋体" w:hAnsi="宋体"/>
                <w:color w:val="000000"/>
                <w:lang w:val="en-US" w:eastAsia="zh-CN"/>
              </w:rPr>
              <w:t>4</w:t>
            </w:r>
            <w:r>
              <w:rPr>
                <w:rFonts w:hint="eastAsia" w:ascii="宋体" w:hAnsi="宋体"/>
                <w:color w:val="000000"/>
              </w:rPr>
              <w:t>年度经会计师事务所审计的财务审计报告、资产负债表及损益表/利润表（若无202</w:t>
            </w:r>
            <w:r>
              <w:rPr>
                <w:rFonts w:hint="eastAsia" w:ascii="宋体" w:hAnsi="宋体"/>
                <w:color w:val="000000"/>
                <w:lang w:val="en-US" w:eastAsia="zh-CN"/>
              </w:rPr>
              <w:t>4</w:t>
            </w:r>
            <w:r>
              <w:rPr>
                <w:rFonts w:hint="eastAsia" w:ascii="宋体" w:hAnsi="宋体"/>
                <w:color w:val="000000"/>
              </w:rPr>
              <w:t>年度经会计师事务所审计的财务审计报告，请提供202</w:t>
            </w:r>
            <w:r>
              <w:rPr>
                <w:rFonts w:hint="eastAsia" w:ascii="宋体" w:hAnsi="宋体"/>
                <w:color w:val="000000"/>
                <w:lang w:val="en-US" w:eastAsia="zh-CN"/>
              </w:rPr>
              <w:t>3</w:t>
            </w:r>
            <w:r>
              <w:rPr>
                <w:rFonts w:hint="eastAsia" w:ascii="宋体" w:hAnsi="宋体"/>
                <w:color w:val="000000"/>
              </w:rPr>
              <w:t>年度经会计师事务所审计的财务审计报告）</w:t>
            </w:r>
          </w:p>
        </w:tc>
        <w:tc>
          <w:tcPr>
            <w:tcW w:w="2038" w:type="pct"/>
            <w:tcBorders>
              <w:top w:val="single" w:color="auto" w:sz="4" w:space="0"/>
              <w:left w:val="single" w:color="auto" w:sz="4" w:space="0"/>
              <w:bottom w:val="single" w:color="auto" w:sz="4" w:space="0"/>
              <w:right w:val="single" w:color="auto" w:sz="4" w:space="0"/>
            </w:tcBorders>
            <w:vAlign w:val="center"/>
          </w:tcPr>
          <w:p w14:paraId="662F3653">
            <w:pPr>
              <w:adjustRightInd w:val="0"/>
              <w:snapToGrid w:val="0"/>
              <w:rPr>
                <w:rFonts w:hint="eastAsia" w:ascii="宋体" w:hAnsi="宋体"/>
                <w:color w:val="000000"/>
              </w:rPr>
            </w:pPr>
            <w:r>
              <w:rPr>
                <w:rFonts w:hint="eastAsia" w:ascii="宋体" w:hAnsi="宋体"/>
              </w:rPr>
              <w:t>是否提供复印件加盖公章</w:t>
            </w:r>
          </w:p>
        </w:tc>
      </w:tr>
      <w:tr w14:paraId="6E7D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A2059DC">
            <w:pPr>
              <w:adjustRightInd w:val="0"/>
              <w:snapToGrid w:val="0"/>
              <w:jc w:val="center"/>
              <w:rPr>
                <w:rFonts w:hint="eastAsia" w:ascii="宋体" w:hAnsi="宋体"/>
                <w:color w:val="000000"/>
              </w:rPr>
            </w:pPr>
            <w:r>
              <w:rPr>
                <w:rFonts w:ascii="宋体" w:hAnsi="宋体"/>
                <w:color w:val="000000"/>
              </w:rPr>
              <w:t>5</w:t>
            </w:r>
          </w:p>
        </w:tc>
        <w:tc>
          <w:tcPr>
            <w:tcW w:w="2667" w:type="pct"/>
            <w:tcBorders>
              <w:top w:val="single" w:color="auto" w:sz="4" w:space="0"/>
              <w:left w:val="single" w:color="auto" w:sz="4" w:space="0"/>
              <w:bottom w:val="single" w:color="auto" w:sz="4" w:space="0"/>
              <w:right w:val="single" w:color="auto" w:sz="4" w:space="0"/>
            </w:tcBorders>
            <w:vAlign w:val="center"/>
          </w:tcPr>
          <w:p w14:paraId="3AAF542A">
            <w:pPr>
              <w:adjustRightInd w:val="0"/>
              <w:snapToGrid w:val="0"/>
              <w:rPr>
                <w:rFonts w:hint="eastAsia" w:ascii="宋体" w:hAnsi="宋体"/>
                <w:color w:val="000000"/>
              </w:rPr>
            </w:pPr>
            <w:r>
              <w:rPr>
                <w:rFonts w:hint="eastAsia" w:ascii="宋体" w:hAnsi="宋体"/>
                <w:color w:val="000000"/>
              </w:rPr>
              <w:t>最近一年任意三个月依法缴纳各种税收和社会保障资金的相关证明材料</w:t>
            </w:r>
          </w:p>
        </w:tc>
        <w:tc>
          <w:tcPr>
            <w:tcW w:w="2038" w:type="pct"/>
            <w:tcBorders>
              <w:top w:val="single" w:color="auto" w:sz="4" w:space="0"/>
              <w:left w:val="single" w:color="auto" w:sz="4" w:space="0"/>
              <w:bottom w:val="single" w:color="auto" w:sz="4" w:space="0"/>
              <w:right w:val="single" w:color="auto" w:sz="4" w:space="0"/>
            </w:tcBorders>
            <w:vAlign w:val="center"/>
          </w:tcPr>
          <w:p w14:paraId="02D5FD07">
            <w:pPr>
              <w:adjustRightInd w:val="0"/>
              <w:snapToGrid w:val="0"/>
              <w:rPr>
                <w:rFonts w:hint="eastAsia" w:ascii="宋体" w:hAnsi="宋体"/>
                <w:color w:val="000000"/>
              </w:rPr>
            </w:pPr>
            <w:r>
              <w:rPr>
                <w:rFonts w:hint="eastAsia" w:ascii="宋体" w:hAnsi="宋体"/>
              </w:rPr>
              <w:t>是否提供复印件加盖公章</w:t>
            </w:r>
          </w:p>
        </w:tc>
      </w:tr>
      <w:tr w14:paraId="204C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0C51D38">
            <w:pPr>
              <w:adjustRightInd w:val="0"/>
              <w:snapToGrid w:val="0"/>
              <w:jc w:val="center"/>
              <w:rPr>
                <w:rFonts w:hint="eastAsia" w:ascii="宋体" w:hAnsi="宋体"/>
                <w:color w:val="000000"/>
              </w:rPr>
            </w:pPr>
            <w:r>
              <w:rPr>
                <w:rFonts w:hint="eastAsia" w:ascii="宋体" w:hAnsi="宋体"/>
                <w:color w:val="000000"/>
              </w:rPr>
              <w:t>6</w:t>
            </w:r>
          </w:p>
        </w:tc>
        <w:tc>
          <w:tcPr>
            <w:tcW w:w="2667" w:type="pct"/>
            <w:tcBorders>
              <w:top w:val="single" w:color="auto" w:sz="4" w:space="0"/>
              <w:left w:val="single" w:color="auto" w:sz="4" w:space="0"/>
              <w:bottom w:val="single" w:color="auto" w:sz="4" w:space="0"/>
              <w:right w:val="single" w:color="auto" w:sz="4" w:space="0"/>
            </w:tcBorders>
            <w:vAlign w:val="center"/>
          </w:tcPr>
          <w:p w14:paraId="2143B6B6">
            <w:pPr>
              <w:adjustRightInd w:val="0"/>
              <w:snapToGrid w:val="0"/>
              <w:rPr>
                <w:rFonts w:hint="eastAsia" w:ascii="宋体" w:hAnsi="宋体"/>
                <w:color w:val="000000"/>
              </w:rPr>
            </w:pPr>
            <w:r>
              <w:rPr>
                <w:rFonts w:hint="eastAsia" w:ascii="宋体" w:hAnsi="宋体"/>
              </w:rPr>
              <w:t>具备履行合同所必需的设备和专业技术能力的证明材料（</w:t>
            </w:r>
            <w:r>
              <w:rPr>
                <w:rFonts w:hint="eastAsia" w:ascii="宋体" w:hAnsi="宋体" w:cs="宋体"/>
                <w:color w:val="000000"/>
                <w:kern w:val="0"/>
                <w:szCs w:val="21"/>
              </w:rPr>
              <w:t>投标人具有近三年（2021年1月1日起，以合同签订时间为准）就餐人数满足</w:t>
            </w:r>
            <w:r>
              <w:rPr>
                <w:rFonts w:hint="eastAsia" w:ascii="宋体" w:hAnsi="宋体" w:cs="宋体"/>
                <w:color w:val="000000"/>
                <w:kern w:val="0"/>
                <w:szCs w:val="21"/>
                <w:lang w:val="en-US" w:eastAsia="zh-CN"/>
              </w:rPr>
              <w:t>8</w:t>
            </w:r>
            <w:r>
              <w:rPr>
                <w:rFonts w:hint="eastAsia" w:ascii="宋体" w:hAnsi="宋体" w:cs="宋体"/>
                <w:color w:val="000000"/>
                <w:kern w:val="0"/>
                <w:szCs w:val="21"/>
              </w:rPr>
              <w:t>00人（含）以上的项目经验</w:t>
            </w:r>
            <w:r>
              <w:rPr>
                <w:rFonts w:hint="eastAsia" w:ascii="宋体" w:hAnsi="宋体"/>
              </w:rPr>
              <w:t>）</w:t>
            </w:r>
          </w:p>
        </w:tc>
        <w:tc>
          <w:tcPr>
            <w:tcW w:w="2038" w:type="pct"/>
            <w:tcBorders>
              <w:top w:val="single" w:color="auto" w:sz="4" w:space="0"/>
              <w:left w:val="single" w:color="auto" w:sz="4" w:space="0"/>
              <w:bottom w:val="single" w:color="auto" w:sz="4" w:space="0"/>
              <w:right w:val="single" w:color="auto" w:sz="4" w:space="0"/>
            </w:tcBorders>
            <w:vAlign w:val="center"/>
          </w:tcPr>
          <w:p w14:paraId="0333F91C">
            <w:pPr>
              <w:adjustRightInd w:val="0"/>
              <w:snapToGrid w:val="0"/>
              <w:rPr>
                <w:rFonts w:hint="eastAsia" w:ascii="宋体" w:hAnsi="宋体"/>
                <w:color w:val="000000"/>
              </w:rPr>
            </w:pPr>
            <w:r>
              <w:rPr>
                <w:rFonts w:hint="eastAsia" w:ascii="宋体" w:hAnsi="宋体"/>
                <w:color w:val="000000"/>
              </w:rPr>
              <w:t>是否按规定提供</w:t>
            </w:r>
            <w:r>
              <w:rPr>
                <w:rFonts w:hint="eastAsia" w:ascii="宋体" w:hAnsi="宋体" w:cs="宋体"/>
                <w:color w:val="000000"/>
              </w:rPr>
              <w:t>合同关键页的复印件，至少包含合同首页、体现合同内容和就餐人数的关键页（合同中不能提供就餐人数的也可提供用户的证明材料，多个服务对象同一项目地址可合并计算人数）、签订日期页、签字盖章页</w:t>
            </w:r>
            <w:r>
              <w:rPr>
                <w:rFonts w:hint="eastAsia" w:ascii="宋体" w:hAnsi="宋体"/>
                <w:color w:val="000000"/>
              </w:rPr>
              <w:t>并加盖公章</w:t>
            </w:r>
          </w:p>
        </w:tc>
      </w:tr>
      <w:tr w14:paraId="632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1E9E3A71">
            <w:pPr>
              <w:adjustRightInd w:val="0"/>
              <w:snapToGrid w:val="0"/>
              <w:jc w:val="center"/>
              <w:rPr>
                <w:rFonts w:hint="eastAsia" w:ascii="宋体" w:hAnsi="宋体"/>
                <w:color w:val="000000"/>
              </w:rPr>
            </w:pPr>
            <w:r>
              <w:rPr>
                <w:rFonts w:hint="eastAsia" w:ascii="宋体" w:hAnsi="宋体"/>
                <w:color w:val="000000"/>
              </w:rPr>
              <w:t>7</w:t>
            </w:r>
          </w:p>
        </w:tc>
        <w:tc>
          <w:tcPr>
            <w:tcW w:w="2667" w:type="pct"/>
            <w:tcBorders>
              <w:top w:val="single" w:color="auto" w:sz="4" w:space="0"/>
              <w:left w:val="single" w:color="auto" w:sz="4" w:space="0"/>
              <w:bottom w:val="single" w:color="auto" w:sz="4" w:space="0"/>
              <w:right w:val="single" w:color="auto" w:sz="4" w:space="0"/>
            </w:tcBorders>
            <w:vAlign w:val="center"/>
          </w:tcPr>
          <w:p w14:paraId="0B709A10">
            <w:pPr>
              <w:adjustRightInd w:val="0"/>
              <w:snapToGrid w:val="0"/>
              <w:rPr>
                <w:rFonts w:hint="eastAsia" w:ascii="宋体" w:hAnsi="宋体" w:cs="宋体"/>
                <w:color w:val="000000"/>
                <w:szCs w:val="21"/>
              </w:rPr>
            </w:pPr>
            <w:r>
              <w:rPr>
                <w:rFonts w:hint="eastAsia" w:ascii="宋体" w:hAnsi="宋体"/>
                <w:color w:val="000000"/>
              </w:rPr>
              <w:t>未被“信用中国”网站（www.creditchina.gov.cn）列入失信被执行人、重大税收违法失信主体、政府采购严重违法失信行为记录名单</w:t>
            </w:r>
          </w:p>
        </w:tc>
        <w:tc>
          <w:tcPr>
            <w:tcW w:w="2038" w:type="pct"/>
            <w:tcBorders>
              <w:top w:val="single" w:color="auto" w:sz="4" w:space="0"/>
              <w:left w:val="single" w:color="auto" w:sz="4" w:space="0"/>
              <w:bottom w:val="single" w:color="auto" w:sz="4" w:space="0"/>
              <w:right w:val="single" w:color="auto" w:sz="4" w:space="0"/>
            </w:tcBorders>
            <w:vAlign w:val="center"/>
          </w:tcPr>
          <w:p w14:paraId="3126A6CB">
            <w:pPr>
              <w:adjustRightInd w:val="0"/>
              <w:snapToGrid w:val="0"/>
              <w:rPr>
                <w:rFonts w:hint="eastAsia" w:ascii="宋体" w:hAnsi="宋体" w:cs="宋体"/>
                <w:color w:val="000000"/>
                <w:szCs w:val="21"/>
              </w:rPr>
            </w:pPr>
            <w:r>
              <w:rPr>
                <w:rFonts w:hint="eastAsia" w:ascii="宋体" w:hAnsi="宋体"/>
                <w:color w:val="000000"/>
              </w:rPr>
              <w:t>是否</w:t>
            </w:r>
            <w:r>
              <w:rPr>
                <w:rFonts w:hint="eastAsia" w:ascii="宋体" w:hAnsi="宋体"/>
                <w:color w:val="000000"/>
                <w:szCs w:val="21"/>
              </w:rPr>
              <w:t>为“信用中国”网站（www.creditchina.gov.cn）列入失信被执行人、重大税收违法失信主体、政府采购严重违法失信行为记录名单（由评标委员会进行查询，投标人无需提供）</w:t>
            </w:r>
          </w:p>
        </w:tc>
      </w:tr>
      <w:tr w14:paraId="0F76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2E1814CE">
            <w:pPr>
              <w:adjustRightInd w:val="0"/>
              <w:snapToGrid w:val="0"/>
              <w:jc w:val="center"/>
              <w:rPr>
                <w:rFonts w:hint="eastAsia" w:ascii="宋体" w:hAnsi="宋体"/>
                <w:color w:val="000000"/>
              </w:rPr>
            </w:pPr>
            <w:r>
              <w:rPr>
                <w:rFonts w:hint="eastAsia" w:ascii="宋体" w:hAnsi="宋体"/>
                <w:color w:val="000000"/>
              </w:rPr>
              <w:t>8</w:t>
            </w:r>
          </w:p>
        </w:tc>
        <w:tc>
          <w:tcPr>
            <w:tcW w:w="2667" w:type="pct"/>
            <w:tcBorders>
              <w:top w:val="single" w:color="auto" w:sz="4" w:space="0"/>
              <w:left w:val="single" w:color="auto" w:sz="4" w:space="0"/>
              <w:bottom w:val="single" w:color="auto" w:sz="4" w:space="0"/>
              <w:right w:val="single" w:color="auto" w:sz="4" w:space="0"/>
            </w:tcBorders>
            <w:vAlign w:val="center"/>
          </w:tcPr>
          <w:p w14:paraId="0A43B595">
            <w:pPr>
              <w:adjustRightInd w:val="0"/>
              <w:snapToGrid w:val="0"/>
              <w:rPr>
                <w:rFonts w:hint="eastAsia" w:ascii="宋体" w:hAnsi="宋体"/>
                <w:color w:val="000000"/>
              </w:rPr>
            </w:pPr>
            <w:r>
              <w:rPr>
                <w:rFonts w:hint="eastAsia" w:ascii="宋体" w:hAnsi="宋体"/>
              </w:rPr>
              <w:t>投标人开户银行出具的银行资信证明原件或复印件</w:t>
            </w:r>
          </w:p>
        </w:tc>
        <w:tc>
          <w:tcPr>
            <w:tcW w:w="2038" w:type="pct"/>
            <w:tcBorders>
              <w:top w:val="single" w:color="auto" w:sz="4" w:space="0"/>
              <w:left w:val="single" w:color="auto" w:sz="4" w:space="0"/>
              <w:bottom w:val="single" w:color="auto" w:sz="4" w:space="0"/>
              <w:right w:val="single" w:color="auto" w:sz="4" w:space="0"/>
            </w:tcBorders>
            <w:vAlign w:val="center"/>
          </w:tcPr>
          <w:p w14:paraId="7124DA53">
            <w:pPr>
              <w:adjustRightInd w:val="0"/>
              <w:snapToGrid w:val="0"/>
              <w:rPr>
                <w:rFonts w:hint="eastAsia" w:ascii="宋体" w:hAnsi="宋体"/>
                <w:color w:val="000000"/>
              </w:rPr>
            </w:pPr>
            <w:r>
              <w:rPr>
                <w:rFonts w:hint="eastAsia" w:ascii="宋体" w:hAnsi="宋体"/>
                <w:color w:val="000000"/>
              </w:rPr>
              <w:t>资信证明银行是否开具原件或复印件</w:t>
            </w:r>
            <w:r>
              <w:rPr>
                <w:rFonts w:hint="eastAsia" w:ascii="宋体" w:hAnsi="宋体"/>
              </w:rPr>
              <w:t>，按包提供</w:t>
            </w:r>
          </w:p>
        </w:tc>
      </w:tr>
      <w:tr w14:paraId="763A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62D647A5">
            <w:pPr>
              <w:adjustRightInd w:val="0"/>
              <w:snapToGrid w:val="0"/>
              <w:jc w:val="center"/>
              <w:rPr>
                <w:rFonts w:hint="eastAsia" w:ascii="宋体" w:hAnsi="宋体"/>
                <w:color w:val="000000"/>
              </w:rPr>
            </w:pPr>
            <w:r>
              <w:rPr>
                <w:rFonts w:hint="eastAsia" w:ascii="宋体" w:hAnsi="宋体"/>
                <w:color w:val="000000"/>
              </w:rPr>
              <w:t>9</w:t>
            </w:r>
          </w:p>
        </w:tc>
        <w:tc>
          <w:tcPr>
            <w:tcW w:w="2667" w:type="pct"/>
            <w:tcBorders>
              <w:top w:val="single" w:color="auto" w:sz="4" w:space="0"/>
              <w:left w:val="single" w:color="auto" w:sz="4" w:space="0"/>
              <w:bottom w:val="single" w:color="auto" w:sz="4" w:space="0"/>
              <w:right w:val="single" w:color="auto" w:sz="4" w:space="0"/>
            </w:tcBorders>
            <w:vAlign w:val="center"/>
          </w:tcPr>
          <w:p w14:paraId="006A4C80">
            <w:pPr>
              <w:adjustRightInd w:val="0"/>
              <w:snapToGrid w:val="0"/>
              <w:rPr>
                <w:rFonts w:hint="eastAsia" w:ascii="宋体" w:hAnsi="宋体"/>
                <w:color w:val="000000"/>
              </w:rPr>
            </w:pPr>
            <w:r>
              <w:rPr>
                <w:rFonts w:hint="eastAsia" w:ascii="宋体" w:hAnsi="宋体"/>
              </w:rPr>
              <w:t>商务条款逐项应答表</w:t>
            </w:r>
          </w:p>
        </w:tc>
        <w:tc>
          <w:tcPr>
            <w:tcW w:w="2038" w:type="pct"/>
            <w:tcBorders>
              <w:top w:val="single" w:color="auto" w:sz="4" w:space="0"/>
              <w:left w:val="single" w:color="auto" w:sz="4" w:space="0"/>
              <w:bottom w:val="single" w:color="auto" w:sz="4" w:space="0"/>
              <w:right w:val="single" w:color="auto" w:sz="4" w:space="0"/>
            </w:tcBorders>
            <w:vAlign w:val="center"/>
          </w:tcPr>
          <w:p w14:paraId="510B90D6">
            <w:pPr>
              <w:adjustRightInd w:val="0"/>
              <w:snapToGrid w:val="0"/>
              <w:rPr>
                <w:rFonts w:hint="eastAsia" w:ascii="宋体" w:hAnsi="宋体"/>
                <w:color w:val="000000"/>
              </w:rPr>
            </w:pPr>
            <w:r>
              <w:rPr>
                <w:rFonts w:hint="eastAsia" w:ascii="宋体" w:hAnsi="宋体"/>
                <w:lang w:bidi="ar"/>
              </w:rPr>
              <w:t>是否</w:t>
            </w:r>
            <w:r>
              <w:rPr>
                <w:rFonts w:hint="eastAsia" w:ascii="宋体" w:hAnsi="宋体"/>
              </w:rPr>
              <w:t>完全承诺无偏离并签字（或人名章）盖章</w:t>
            </w:r>
          </w:p>
        </w:tc>
      </w:tr>
      <w:tr w14:paraId="118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79D99D80">
            <w:pPr>
              <w:adjustRightInd w:val="0"/>
              <w:snapToGrid w:val="0"/>
              <w:jc w:val="center"/>
              <w:rPr>
                <w:rFonts w:hint="eastAsia" w:ascii="宋体" w:hAnsi="宋体"/>
                <w:color w:val="000000"/>
              </w:rPr>
            </w:pPr>
            <w:r>
              <w:rPr>
                <w:rFonts w:hint="eastAsia" w:ascii="宋体" w:hAnsi="宋体"/>
                <w:color w:val="000000"/>
              </w:rPr>
              <w:t>10</w:t>
            </w:r>
          </w:p>
        </w:tc>
        <w:tc>
          <w:tcPr>
            <w:tcW w:w="2667" w:type="pct"/>
            <w:tcBorders>
              <w:top w:val="single" w:color="auto" w:sz="4" w:space="0"/>
              <w:left w:val="single" w:color="auto" w:sz="4" w:space="0"/>
              <w:bottom w:val="single" w:color="auto" w:sz="4" w:space="0"/>
              <w:right w:val="single" w:color="auto" w:sz="4" w:space="0"/>
            </w:tcBorders>
            <w:vAlign w:val="center"/>
          </w:tcPr>
          <w:p w14:paraId="05CACD87">
            <w:pPr>
              <w:adjustRightInd w:val="0"/>
              <w:snapToGrid w:val="0"/>
              <w:rPr>
                <w:rFonts w:hint="eastAsia" w:ascii="宋体" w:hAnsi="宋体"/>
                <w:color w:val="000000"/>
              </w:rPr>
            </w:pPr>
            <w:r>
              <w:rPr>
                <w:rFonts w:hint="eastAsia" w:ascii="宋体" w:hAnsi="宋体"/>
              </w:rPr>
              <w:t>投标保证金</w:t>
            </w:r>
          </w:p>
        </w:tc>
        <w:tc>
          <w:tcPr>
            <w:tcW w:w="2038" w:type="pct"/>
            <w:tcBorders>
              <w:top w:val="single" w:color="auto" w:sz="4" w:space="0"/>
              <w:left w:val="single" w:color="auto" w:sz="4" w:space="0"/>
              <w:bottom w:val="single" w:color="auto" w:sz="4" w:space="0"/>
              <w:right w:val="single" w:color="auto" w:sz="4" w:space="0"/>
            </w:tcBorders>
            <w:vAlign w:val="center"/>
          </w:tcPr>
          <w:p w14:paraId="53F5FEF3">
            <w:pPr>
              <w:adjustRightInd w:val="0"/>
              <w:snapToGrid w:val="0"/>
              <w:rPr>
                <w:rFonts w:hint="eastAsia" w:ascii="宋体" w:hAnsi="宋体"/>
                <w:color w:val="000000"/>
              </w:rPr>
            </w:pPr>
            <w:r>
              <w:rPr>
                <w:rFonts w:hint="eastAsia" w:ascii="宋体" w:hAnsi="宋体"/>
              </w:rPr>
              <w:t>是否满足投标保证金要求</w:t>
            </w:r>
          </w:p>
        </w:tc>
      </w:tr>
      <w:tr w14:paraId="1084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76DE13E">
            <w:pPr>
              <w:adjustRightInd w:val="0"/>
              <w:snapToGrid w:val="0"/>
              <w:jc w:val="center"/>
              <w:rPr>
                <w:rFonts w:hint="eastAsia" w:ascii="宋体" w:hAnsi="宋体"/>
                <w:color w:val="000000"/>
              </w:rPr>
            </w:pPr>
            <w:r>
              <w:rPr>
                <w:rFonts w:hint="eastAsia" w:ascii="宋体" w:hAnsi="宋体"/>
                <w:color w:val="000000"/>
              </w:rPr>
              <w:t>11</w:t>
            </w:r>
          </w:p>
        </w:tc>
        <w:tc>
          <w:tcPr>
            <w:tcW w:w="2667" w:type="pct"/>
            <w:tcBorders>
              <w:top w:val="single" w:color="auto" w:sz="4" w:space="0"/>
              <w:left w:val="single" w:color="auto" w:sz="4" w:space="0"/>
              <w:bottom w:val="single" w:color="auto" w:sz="4" w:space="0"/>
              <w:right w:val="single" w:color="auto" w:sz="4" w:space="0"/>
            </w:tcBorders>
            <w:vAlign w:val="center"/>
          </w:tcPr>
          <w:p w14:paraId="4C288CBB">
            <w:pPr>
              <w:rPr>
                <w:rFonts w:hint="eastAsia" w:ascii="宋体" w:hAnsi="宋体"/>
              </w:rPr>
            </w:pPr>
            <w:r>
              <w:rPr>
                <w:rFonts w:hint="eastAsia" w:ascii="宋体" w:hAnsi="宋体"/>
              </w:rPr>
              <w:t>供应商承诺书</w:t>
            </w:r>
          </w:p>
        </w:tc>
        <w:tc>
          <w:tcPr>
            <w:tcW w:w="2038" w:type="pct"/>
            <w:tcBorders>
              <w:top w:val="single" w:color="auto" w:sz="4" w:space="0"/>
              <w:left w:val="single" w:color="auto" w:sz="4" w:space="0"/>
              <w:bottom w:val="single" w:color="auto" w:sz="4" w:space="0"/>
              <w:right w:val="single" w:color="auto" w:sz="4" w:space="0"/>
            </w:tcBorders>
            <w:vAlign w:val="center"/>
          </w:tcPr>
          <w:p w14:paraId="2C8B1187">
            <w:pPr>
              <w:rPr>
                <w:rFonts w:hint="eastAsia" w:ascii="宋体" w:hAnsi="宋体"/>
              </w:rPr>
            </w:pPr>
            <w:r>
              <w:rPr>
                <w:rFonts w:hint="eastAsia" w:ascii="宋体" w:hAnsi="宋体"/>
              </w:rPr>
              <w:t>是否完全承诺并签字（或人名章）盖章</w:t>
            </w:r>
          </w:p>
        </w:tc>
      </w:tr>
      <w:tr w14:paraId="3810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12FB0494">
            <w:pPr>
              <w:adjustRightInd w:val="0"/>
              <w:snapToGrid w:val="0"/>
              <w:jc w:val="center"/>
              <w:rPr>
                <w:rFonts w:hint="eastAsia" w:ascii="宋体" w:hAnsi="宋体"/>
                <w:color w:val="000000"/>
              </w:rPr>
            </w:pPr>
            <w:r>
              <w:rPr>
                <w:rFonts w:ascii="宋体" w:hAnsi="宋体"/>
                <w:color w:val="000000"/>
              </w:rPr>
              <w:t>1</w:t>
            </w:r>
            <w:r>
              <w:rPr>
                <w:rFonts w:hint="eastAsia" w:ascii="宋体" w:hAnsi="宋体"/>
                <w:color w:val="000000"/>
              </w:rPr>
              <w:t>2</w:t>
            </w:r>
          </w:p>
        </w:tc>
        <w:tc>
          <w:tcPr>
            <w:tcW w:w="2667" w:type="pct"/>
            <w:tcBorders>
              <w:top w:val="single" w:color="auto" w:sz="4" w:space="0"/>
              <w:left w:val="single" w:color="auto" w:sz="4" w:space="0"/>
              <w:bottom w:val="single" w:color="auto" w:sz="4" w:space="0"/>
              <w:right w:val="single" w:color="auto" w:sz="4" w:space="0"/>
            </w:tcBorders>
            <w:vAlign w:val="center"/>
          </w:tcPr>
          <w:p w14:paraId="6C714581">
            <w:pPr>
              <w:adjustRightInd w:val="0"/>
              <w:snapToGrid w:val="0"/>
              <w:rPr>
                <w:rFonts w:hint="eastAsia" w:ascii="宋体" w:hAnsi="宋体"/>
                <w:color w:val="000000"/>
              </w:rPr>
            </w:pPr>
            <w:r>
              <w:rPr>
                <w:rFonts w:hint="eastAsia" w:ascii="宋体" w:hAnsi="宋体"/>
              </w:rPr>
              <w:t>开标一览表</w:t>
            </w:r>
          </w:p>
        </w:tc>
        <w:tc>
          <w:tcPr>
            <w:tcW w:w="2038" w:type="pct"/>
            <w:tcBorders>
              <w:top w:val="single" w:color="auto" w:sz="4" w:space="0"/>
              <w:left w:val="single" w:color="auto" w:sz="4" w:space="0"/>
              <w:bottom w:val="single" w:color="auto" w:sz="4" w:space="0"/>
              <w:right w:val="single" w:color="auto" w:sz="4" w:space="0"/>
            </w:tcBorders>
            <w:vAlign w:val="center"/>
          </w:tcPr>
          <w:p w14:paraId="23B9695E">
            <w:pPr>
              <w:adjustRightInd w:val="0"/>
              <w:snapToGrid w:val="0"/>
              <w:rPr>
                <w:rFonts w:hint="eastAsia" w:ascii="宋体" w:hAnsi="宋体"/>
                <w:color w:val="000000"/>
              </w:rPr>
            </w:pPr>
            <w:r>
              <w:rPr>
                <w:rFonts w:hint="eastAsia" w:ascii="宋体" w:hAnsi="宋体"/>
              </w:rPr>
              <w:t>是否按规定提供，并符合招标控制价要求加盖公章</w:t>
            </w:r>
          </w:p>
        </w:tc>
      </w:tr>
      <w:tr w14:paraId="008A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3233BAD7">
            <w:pPr>
              <w:adjustRightInd w:val="0"/>
              <w:snapToGrid w:val="0"/>
              <w:jc w:val="center"/>
              <w:rPr>
                <w:rFonts w:hint="eastAsia" w:ascii="宋体" w:hAnsi="宋体"/>
                <w:color w:val="000000"/>
              </w:rPr>
            </w:pPr>
            <w:r>
              <w:rPr>
                <w:rFonts w:hint="eastAsia" w:ascii="宋体" w:hAnsi="宋体"/>
                <w:color w:val="000000"/>
              </w:rPr>
              <w:t>13</w:t>
            </w:r>
          </w:p>
        </w:tc>
        <w:tc>
          <w:tcPr>
            <w:tcW w:w="2667" w:type="pct"/>
            <w:tcBorders>
              <w:top w:val="single" w:color="auto" w:sz="4" w:space="0"/>
              <w:left w:val="single" w:color="auto" w:sz="4" w:space="0"/>
              <w:bottom w:val="single" w:color="auto" w:sz="4" w:space="0"/>
              <w:right w:val="single" w:color="auto" w:sz="4" w:space="0"/>
            </w:tcBorders>
            <w:vAlign w:val="center"/>
          </w:tcPr>
          <w:p w14:paraId="0A56F652">
            <w:pPr>
              <w:adjustRightInd w:val="0"/>
              <w:snapToGrid w:val="0"/>
              <w:rPr>
                <w:rFonts w:hint="eastAsia" w:ascii="宋体" w:hAnsi="宋体"/>
                <w:color w:val="000000"/>
              </w:rPr>
            </w:pPr>
            <w:r>
              <w:rPr>
                <w:rFonts w:hint="eastAsia" w:ascii="宋体" w:hAnsi="宋体"/>
              </w:rPr>
              <w:t>服务承诺逐项应答表</w:t>
            </w:r>
          </w:p>
        </w:tc>
        <w:tc>
          <w:tcPr>
            <w:tcW w:w="2038" w:type="pct"/>
            <w:tcBorders>
              <w:top w:val="single" w:color="auto" w:sz="4" w:space="0"/>
              <w:left w:val="single" w:color="auto" w:sz="4" w:space="0"/>
              <w:bottom w:val="single" w:color="auto" w:sz="4" w:space="0"/>
              <w:right w:val="single" w:color="auto" w:sz="4" w:space="0"/>
            </w:tcBorders>
            <w:vAlign w:val="center"/>
          </w:tcPr>
          <w:p w14:paraId="196CC8D0">
            <w:pPr>
              <w:adjustRightInd w:val="0"/>
              <w:snapToGrid w:val="0"/>
              <w:rPr>
                <w:rFonts w:hint="eastAsia" w:ascii="宋体" w:hAnsi="宋体"/>
                <w:color w:val="000000"/>
              </w:rPr>
            </w:pPr>
            <w:r>
              <w:rPr>
                <w:rFonts w:hint="eastAsia" w:ascii="宋体" w:hAnsi="宋体"/>
              </w:rPr>
              <w:t>是否按规定提供且</w:t>
            </w:r>
            <w:r>
              <w:rPr>
                <w:rFonts w:ascii="宋体" w:hAnsi="宋体"/>
              </w:rPr>
              <w:t>*</w:t>
            </w:r>
            <w:r>
              <w:rPr>
                <w:rFonts w:hint="eastAsia" w:ascii="宋体" w:hAnsi="宋体"/>
              </w:rPr>
              <w:t>项目无负偏离，签字（或人名章）盖章</w:t>
            </w:r>
          </w:p>
        </w:tc>
      </w:tr>
    </w:tbl>
    <w:p w14:paraId="346CDD4D">
      <w:pPr>
        <w:spacing w:line="360" w:lineRule="auto"/>
        <w:jc w:val="center"/>
        <w:rPr>
          <w:color w:val="000000"/>
        </w:rPr>
      </w:pPr>
    </w:p>
    <w:p w14:paraId="2D8B9D49">
      <w:pPr>
        <w:pStyle w:val="3"/>
        <w:jc w:val="both"/>
        <w:rPr>
          <w:rFonts w:hint="eastAsia" w:ascii="黑体" w:hAnsi="黑体"/>
          <w:bCs/>
          <w:color w:val="000000"/>
        </w:rPr>
      </w:pPr>
      <w:bookmarkStart w:id="22" w:name="_Toc30574"/>
      <w:r>
        <w:rPr>
          <w:rFonts w:hint="eastAsia" w:ascii="黑体" w:hAnsi="黑体"/>
          <w:bCs/>
          <w:color w:val="000000"/>
        </w:rPr>
        <w:t>3.2 评标标准</w:t>
      </w:r>
      <w:bookmarkEnd w:id="22"/>
    </w:p>
    <w:p w14:paraId="3EA2397F">
      <w:pPr>
        <w:spacing w:line="360" w:lineRule="auto"/>
        <w:ind w:firstLine="420"/>
        <w:rPr>
          <w:rFonts w:hint="eastAsia" w:ascii="宋体" w:hAnsi="宋体"/>
          <w:color w:val="000000"/>
          <w:szCs w:val="21"/>
        </w:rPr>
      </w:pPr>
      <w:r>
        <w:rPr>
          <w:rFonts w:hint="eastAsia" w:ascii="宋体" w:hAnsi="宋体"/>
          <w:color w:val="000000"/>
          <w:szCs w:val="21"/>
        </w:rPr>
        <w:t>评标委员会在评标时，依据投标报价和各项技术、服务因素对投标人及投标的货物或服务进行综合评价，包括但不限于以下各项因素：</w:t>
      </w:r>
    </w:p>
    <w:p w14:paraId="1C71B41F">
      <w:pPr>
        <w:spacing w:line="360" w:lineRule="auto"/>
        <w:ind w:firstLine="420"/>
        <w:rPr>
          <w:rFonts w:hint="eastAsia" w:ascii="宋体" w:hAnsi="宋体"/>
          <w:color w:val="000000"/>
          <w:szCs w:val="21"/>
        </w:rPr>
      </w:pPr>
      <w:r>
        <w:rPr>
          <w:rFonts w:hint="eastAsia" w:ascii="宋体" w:hAnsi="宋体"/>
          <w:color w:val="000000"/>
          <w:szCs w:val="21"/>
        </w:rPr>
        <w:t>1．投标报价及折扣；</w:t>
      </w:r>
    </w:p>
    <w:p w14:paraId="052A9145">
      <w:pPr>
        <w:spacing w:line="360" w:lineRule="auto"/>
        <w:ind w:firstLine="420"/>
        <w:rPr>
          <w:rFonts w:hint="eastAsia" w:ascii="宋体" w:hAnsi="宋体"/>
          <w:color w:val="000000"/>
          <w:szCs w:val="21"/>
        </w:rPr>
      </w:pPr>
      <w:r>
        <w:rPr>
          <w:rFonts w:hint="eastAsia" w:ascii="宋体" w:hAnsi="宋体"/>
          <w:color w:val="000000"/>
          <w:szCs w:val="21"/>
        </w:rPr>
        <w:t>2．财务状况和经营信誉；</w:t>
      </w:r>
    </w:p>
    <w:p w14:paraId="5C2CE59D">
      <w:pPr>
        <w:spacing w:line="360" w:lineRule="auto"/>
        <w:ind w:firstLine="420"/>
        <w:rPr>
          <w:rFonts w:hint="eastAsia" w:ascii="宋体" w:hAnsi="宋体"/>
          <w:color w:val="000000"/>
          <w:szCs w:val="21"/>
        </w:rPr>
      </w:pPr>
      <w:r>
        <w:rPr>
          <w:rFonts w:hint="eastAsia" w:ascii="宋体" w:hAnsi="宋体"/>
          <w:color w:val="000000"/>
          <w:szCs w:val="21"/>
        </w:rPr>
        <w:t>3．提供的货物指标或服务内容与招标文件要求的偏离程度；</w:t>
      </w:r>
    </w:p>
    <w:p w14:paraId="5422760D">
      <w:pPr>
        <w:spacing w:line="360" w:lineRule="auto"/>
        <w:ind w:firstLine="420"/>
        <w:rPr>
          <w:rFonts w:hint="eastAsia" w:ascii="宋体" w:hAnsi="宋体"/>
          <w:color w:val="000000"/>
          <w:szCs w:val="21"/>
        </w:rPr>
      </w:pPr>
      <w:r>
        <w:rPr>
          <w:rFonts w:hint="eastAsia" w:ascii="宋体" w:hAnsi="宋体"/>
          <w:color w:val="000000"/>
          <w:szCs w:val="21"/>
        </w:rPr>
        <w:t>4．提供的投标方案与招标需求的符合程度。</w:t>
      </w:r>
    </w:p>
    <w:p w14:paraId="5CDAEF46">
      <w:pPr>
        <w:pStyle w:val="3"/>
        <w:jc w:val="both"/>
        <w:rPr>
          <w:rFonts w:hint="eastAsia" w:ascii="黑体" w:hAnsi="黑体"/>
          <w:bCs/>
          <w:color w:val="000000"/>
        </w:rPr>
      </w:pPr>
      <w:bookmarkStart w:id="23" w:name="_Toc21588"/>
      <w:r>
        <w:rPr>
          <w:rFonts w:hint="eastAsia" w:ascii="黑体" w:hAnsi="黑体"/>
          <w:bCs/>
          <w:color w:val="000000"/>
        </w:rPr>
        <w:t>3.3 评标办法</w:t>
      </w:r>
      <w:bookmarkEnd w:id="23"/>
    </w:p>
    <w:p w14:paraId="4DDEEEDA">
      <w:pPr>
        <w:numPr>
          <w:ilvl w:val="0"/>
          <w:numId w:val="7"/>
        </w:numPr>
        <w:spacing w:line="360" w:lineRule="auto"/>
        <w:ind w:left="664" w:hanging="244"/>
        <w:rPr>
          <w:rFonts w:hint="eastAsia" w:ascii="宋体" w:hAnsi="宋体"/>
          <w:color w:val="000000"/>
          <w:szCs w:val="21"/>
        </w:rPr>
      </w:pPr>
      <w:r>
        <w:rPr>
          <w:rFonts w:hint="eastAsia" w:ascii="宋体" w:hAnsi="宋体"/>
          <w:color w:val="000000"/>
          <w:szCs w:val="21"/>
        </w:rPr>
        <w:t>组建评标委员会：招标人根据相关法律法规并结合本招标项目的特点组建评标委员会。</w:t>
      </w:r>
    </w:p>
    <w:p w14:paraId="02FF805D">
      <w:pPr>
        <w:numPr>
          <w:ilvl w:val="0"/>
          <w:numId w:val="7"/>
        </w:numPr>
        <w:spacing w:line="360" w:lineRule="auto"/>
        <w:ind w:left="664" w:hanging="244"/>
        <w:rPr>
          <w:color w:val="000000"/>
        </w:rPr>
      </w:pPr>
      <w:r>
        <w:rPr>
          <w:rFonts w:hint="eastAsia" w:ascii="宋体" w:hAnsi="宋体"/>
          <w:color w:val="000000"/>
          <w:szCs w:val="21"/>
        </w:rPr>
        <w:t>评标委员会根据评分细则，对通过符合性审查的投标人的投标文件进行详细评审，详细评审过程中，</w:t>
      </w:r>
      <w:r>
        <w:rPr>
          <w:rFonts w:hint="eastAsia"/>
          <w:color w:val="000000"/>
        </w:rPr>
        <w:t>评标委员会先开展主观评审因素的评审工作，再开展客观评审因素的评审工作，最后再计算价格分，汇总各投标人最终得分。</w:t>
      </w:r>
    </w:p>
    <w:p w14:paraId="77E15126">
      <w:pPr>
        <w:numPr>
          <w:ilvl w:val="0"/>
          <w:numId w:val="7"/>
        </w:numPr>
        <w:spacing w:line="360" w:lineRule="auto"/>
        <w:ind w:left="664" w:hanging="244"/>
        <w:rPr>
          <w:color w:val="000000"/>
        </w:rPr>
      </w:pPr>
      <w:r>
        <w:rPr>
          <w:rFonts w:hint="eastAsia"/>
          <w:color w:val="000000"/>
        </w:rPr>
        <w:t>各阶段评审打分结束后，所有评审人员对该阶段打分表进行签字确认，提交工作人员现场封存，再进入下阶段评审打分。各阶段评审打分结束后，原则上不得修改，确需修改的，需经评标委员会全体同意，并将相关情况记录在评标报告（评审意见）中。未经评标委员会全体同意的修改，视同为无效修改，不得纳入评审最终意见。</w:t>
      </w:r>
    </w:p>
    <w:p w14:paraId="106C7911">
      <w:pPr>
        <w:numPr>
          <w:ilvl w:val="0"/>
          <w:numId w:val="7"/>
        </w:numPr>
        <w:spacing w:line="360" w:lineRule="auto"/>
        <w:ind w:left="664" w:hanging="244"/>
        <w:rPr>
          <w:color w:val="000000"/>
        </w:rPr>
      </w:pPr>
      <w:r>
        <w:rPr>
          <w:rFonts w:hint="eastAsia"/>
          <w:color w:val="000000"/>
        </w:rPr>
        <w:t>主观评审因素应严格独立评分，不得协商评分。</w:t>
      </w:r>
    </w:p>
    <w:p w14:paraId="0547DC11">
      <w:pPr>
        <w:numPr>
          <w:ilvl w:val="0"/>
          <w:numId w:val="7"/>
        </w:numPr>
        <w:spacing w:line="360" w:lineRule="auto"/>
        <w:ind w:left="664" w:hanging="244"/>
        <w:rPr>
          <w:rFonts w:hint="eastAsia" w:ascii="宋体" w:hAnsi="宋体"/>
          <w:color w:val="000000"/>
          <w:szCs w:val="21"/>
        </w:rPr>
      </w:pPr>
      <w:r>
        <w:rPr>
          <w:rFonts w:hint="eastAsia" w:ascii="宋体" w:hAnsi="宋体"/>
          <w:color w:val="000000"/>
          <w:szCs w:val="21"/>
        </w:rPr>
        <w:t>评标采用综合评分法：对投标报价、商务能力、技术水平等进行综合评审，评分权重如下：</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6"/>
        <w:gridCol w:w="4978"/>
      </w:tblGrid>
      <w:tr w14:paraId="491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77" w:type="dxa"/>
            <w:tcBorders>
              <w:top w:val="single" w:color="auto" w:sz="4" w:space="0"/>
              <w:left w:val="single" w:color="auto" w:sz="4" w:space="0"/>
              <w:bottom w:val="single" w:color="auto" w:sz="4" w:space="0"/>
              <w:right w:val="single" w:color="auto" w:sz="4" w:space="0"/>
            </w:tcBorders>
            <w:vAlign w:val="center"/>
          </w:tcPr>
          <w:p w14:paraId="4773566A">
            <w:pPr>
              <w:snapToGrid w:val="0"/>
              <w:jc w:val="center"/>
              <w:rPr>
                <w:rFonts w:hint="eastAsia" w:ascii="宋体" w:hAnsi="宋体"/>
                <w:color w:val="000000"/>
                <w:szCs w:val="21"/>
              </w:rPr>
            </w:pPr>
            <w:r>
              <w:rPr>
                <w:rFonts w:hint="eastAsia" w:ascii="宋体" w:hAnsi="宋体"/>
                <w:color w:val="000000"/>
                <w:szCs w:val="21"/>
              </w:rPr>
              <w:t>价格部分</w:t>
            </w:r>
          </w:p>
        </w:tc>
        <w:tc>
          <w:tcPr>
            <w:tcW w:w="4979" w:type="dxa"/>
            <w:tcBorders>
              <w:top w:val="single" w:color="auto" w:sz="4" w:space="0"/>
              <w:left w:val="single" w:color="auto" w:sz="4" w:space="0"/>
              <w:bottom w:val="single" w:color="auto" w:sz="4" w:space="0"/>
              <w:right w:val="single" w:color="auto" w:sz="4" w:space="0"/>
            </w:tcBorders>
            <w:vAlign w:val="center"/>
          </w:tcPr>
          <w:p w14:paraId="415341AB">
            <w:pPr>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15</w:t>
            </w:r>
            <w:r>
              <w:rPr>
                <w:rFonts w:hint="eastAsia" w:ascii="宋体" w:hAnsi="宋体"/>
                <w:color w:val="000000"/>
                <w:szCs w:val="21"/>
              </w:rPr>
              <w:t>分</w:t>
            </w:r>
          </w:p>
        </w:tc>
      </w:tr>
      <w:tr w14:paraId="2C2D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77" w:type="dxa"/>
            <w:tcBorders>
              <w:top w:val="single" w:color="auto" w:sz="4" w:space="0"/>
              <w:left w:val="single" w:color="auto" w:sz="4" w:space="0"/>
              <w:bottom w:val="single" w:color="auto" w:sz="4" w:space="0"/>
              <w:right w:val="single" w:color="auto" w:sz="4" w:space="0"/>
            </w:tcBorders>
            <w:vAlign w:val="center"/>
          </w:tcPr>
          <w:p w14:paraId="51168F96">
            <w:pPr>
              <w:snapToGrid w:val="0"/>
              <w:jc w:val="center"/>
              <w:rPr>
                <w:rFonts w:hint="eastAsia" w:ascii="宋体" w:hAnsi="宋体"/>
                <w:color w:val="000000"/>
                <w:szCs w:val="21"/>
              </w:rPr>
            </w:pPr>
            <w:r>
              <w:rPr>
                <w:rFonts w:hint="eastAsia" w:ascii="宋体" w:hAnsi="宋体"/>
                <w:color w:val="000000"/>
                <w:szCs w:val="21"/>
              </w:rPr>
              <w:t>商务部分</w:t>
            </w:r>
          </w:p>
        </w:tc>
        <w:tc>
          <w:tcPr>
            <w:tcW w:w="4979" w:type="dxa"/>
            <w:tcBorders>
              <w:top w:val="single" w:color="auto" w:sz="4" w:space="0"/>
              <w:left w:val="single" w:color="auto" w:sz="4" w:space="0"/>
              <w:bottom w:val="single" w:color="auto" w:sz="4" w:space="0"/>
              <w:right w:val="single" w:color="auto" w:sz="4" w:space="0"/>
            </w:tcBorders>
            <w:vAlign w:val="center"/>
          </w:tcPr>
          <w:p w14:paraId="3E2D86BA">
            <w:pPr>
              <w:snapToGrid w:val="0"/>
              <w:jc w:val="center"/>
              <w:rPr>
                <w:rFonts w:hint="default" w:ascii="宋体" w:hAnsi="宋体" w:eastAsia="宋体"/>
                <w:color w:val="000000"/>
                <w:szCs w:val="21"/>
                <w:lang w:val="en-US" w:eastAsia="zh-CN"/>
              </w:rPr>
            </w:pPr>
            <w:r>
              <w:rPr>
                <w:rFonts w:hint="eastAsia" w:ascii="宋体" w:hAnsi="宋体"/>
                <w:color w:val="000000"/>
                <w:szCs w:val="21"/>
              </w:rPr>
              <w:t>2</w:t>
            </w:r>
            <w:r>
              <w:rPr>
                <w:rFonts w:hint="eastAsia" w:ascii="宋体" w:hAnsi="宋体"/>
                <w:color w:val="000000"/>
                <w:szCs w:val="21"/>
                <w:lang w:val="en-US" w:eastAsia="zh-CN"/>
              </w:rPr>
              <w:t>8</w:t>
            </w:r>
            <w:r>
              <w:rPr>
                <w:rFonts w:hint="eastAsia" w:ascii="宋体" w:hAnsi="宋体"/>
                <w:color w:val="000000"/>
                <w:szCs w:val="21"/>
              </w:rPr>
              <w:t>分</w:t>
            </w:r>
          </w:p>
        </w:tc>
      </w:tr>
      <w:tr w14:paraId="5410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77" w:type="dxa"/>
            <w:tcBorders>
              <w:top w:val="single" w:color="auto" w:sz="4" w:space="0"/>
              <w:left w:val="single" w:color="auto" w:sz="4" w:space="0"/>
              <w:bottom w:val="single" w:color="auto" w:sz="4" w:space="0"/>
              <w:right w:val="single" w:color="auto" w:sz="4" w:space="0"/>
            </w:tcBorders>
            <w:vAlign w:val="center"/>
          </w:tcPr>
          <w:p w14:paraId="03FA8E22">
            <w:pPr>
              <w:snapToGrid w:val="0"/>
              <w:jc w:val="center"/>
              <w:rPr>
                <w:rFonts w:hint="eastAsia" w:ascii="宋体" w:hAnsi="宋体"/>
                <w:color w:val="000000"/>
                <w:szCs w:val="21"/>
              </w:rPr>
            </w:pPr>
            <w:r>
              <w:rPr>
                <w:rFonts w:hint="eastAsia" w:ascii="宋体" w:hAnsi="宋体"/>
                <w:color w:val="000000"/>
                <w:szCs w:val="21"/>
              </w:rPr>
              <w:t>技术部分</w:t>
            </w:r>
          </w:p>
        </w:tc>
        <w:tc>
          <w:tcPr>
            <w:tcW w:w="4979" w:type="dxa"/>
            <w:tcBorders>
              <w:top w:val="single" w:color="auto" w:sz="4" w:space="0"/>
              <w:left w:val="single" w:color="auto" w:sz="4" w:space="0"/>
              <w:bottom w:val="single" w:color="auto" w:sz="4" w:space="0"/>
              <w:right w:val="single" w:color="auto" w:sz="4" w:space="0"/>
            </w:tcBorders>
            <w:vAlign w:val="center"/>
          </w:tcPr>
          <w:p w14:paraId="4800BE37">
            <w:pPr>
              <w:snapToGrid w:val="0"/>
              <w:jc w:val="center"/>
              <w:rPr>
                <w:rFonts w:hint="default" w:ascii="宋体" w:hAnsi="宋体" w:eastAsia="宋体"/>
                <w:color w:val="000000"/>
                <w:szCs w:val="21"/>
                <w:lang w:val="en-US" w:eastAsia="zh-CN"/>
              </w:rPr>
            </w:pPr>
            <w:r>
              <w:rPr>
                <w:rFonts w:hint="eastAsia" w:ascii="宋体" w:hAnsi="宋体"/>
                <w:color w:val="000000"/>
                <w:szCs w:val="21"/>
              </w:rPr>
              <w:t>57分</w:t>
            </w:r>
          </w:p>
        </w:tc>
      </w:tr>
    </w:tbl>
    <w:p w14:paraId="15F7B643">
      <w:pPr>
        <w:numPr>
          <w:ilvl w:val="0"/>
          <w:numId w:val="7"/>
        </w:numPr>
        <w:tabs>
          <w:tab w:val="left" w:pos="0"/>
        </w:tabs>
        <w:spacing w:before="240" w:line="360" w:lineRule="auto"/>
        <w:ind w:left="664" w:hanging="244"/>
        <w:rPr>
          <w:rFonts w:hint="eastAsia" w:ascii="宋体" w:hAnsi="宋体"/>
          <w:color w:val="000000"/>
          <w:szCs w:val="21"/>
        </w:rPr>
      </w:pPr>
      <w:r>
        <w:rPr>
          <w:rFonts w:hint="eastAsia" w:ascii="宋体" w:hAnsi="宋体"/>
          <w:color w:val="000000"/>
          <w:szCs w:val="21"/>
        </w:rPr>
        <w:t>每一投标人的最终得分是所有评审人员给其评分的算术平均值（精确到小数点后2位）。然后按照投标人最终得分由高到低的顺序排列。</w:t>
      </w:r>
      <w:r>
        <w:rPr>
          <w:rFonts w:hint="eastAsia" w:ascii="宋体" w:hAnsi="宋体"/>
          <w:szCs w:val="21"/>
        </w:rPr>
        <w:t>若投标人得分相同时，按照投标报价由低到高的顺序排列。通过符合性审查的投标人数大于3名时，最终得分前3名的投标人为中标候选人。通过符合性审查的投标人数为3名时，最终得分前2名的投标人为中标候选人。</w:t>
      </w:r>
    </w:p>
    <w:p w14:paraId="5A0630E3">
      <w:pPr>
        <w:numPr>
          <w:ilvl w:val="0"/>
          <w:numId w:val="7"/>
        </w:numPr>
        <w:tabs>
          <w:tab w:val="left" w:pos="0"/>
        </w:tabs>
        <w:spacing w:line="360" w:lineRule="auto"/>
        <w:ind w:left="664" w:hanging="244"/>
        <w:rPr>
          <w:rFonts w:hint="eastAsia" w:ascii="宋体" w:hAnsi="宋体"/>
          <w:b/>
          <w:color w:val="000000"/>
          <w:szCs w:val="21"/>
        </w:rPr>
      </w:pPr>
      <w:r>
        <w:rPr>
          <w:rFonts w:hint="eastAsia" w:ascii="宋体" w:hAnsi="宋体"/>
          <w:b/>
          <w:color w:val="000000"/>
          <w:szCs w:val="21"/>
        </w:rPr>
        <w:t>评分细则详见下表：</w:t>
      </w:r>
    </w:p>
    <w:tbl>
      <w:tblPr>
        <w:tblStyle w:val="26"/>
        <w:tblW w:w="87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0"/>
        <w:gridCol w:w="1246"/>
        <w:gridCol w:w="5277"/>
        <w:gridCol w:w="992"/>
      </w:tblGrid>
      <w:tr w14:paraId="1349F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240" w:type="dxa"/>
            <w:tcBorders>
              <w:top w:val="single" w:color="auto" w:sz="8" w:space="0"/>
              <w:left w:val="single" w:color="auto" w:sz="8" w:space="0"/>
              <w:bottom w:val="single" w:color="auto" w:sz="8" w:space="0"/>
              <w:right w:val="single" w:color="auto" w:sz="8" w:space="0"/>
            </w:tcBorders>
            <w:vAlign w:val="center"/>
          </w:tcPr>
          <w:p w14:paraId="01F17601">
            <w:pPr>
              <w:spacing w:before="120" w:beforeLines="50" w:after="120" w:afterLines="50"/>
              <w:jc w:val="center"/>
              <w:rPr>
                <w:szCs w:val="21"/>
              </w:rPr>
            </w:pPr>
            <w:r>
              <w:rPr>
                <w:szCs w:val="21"/>
              </w:rPr>
              <w:t>序号</w:t>
            </w:r>
          </w:p>
        </w:tc>
        <w:tc>
          <w:tcPr>
            <w:tcW w:w="1246" w:type="dxa"/>
            <w:tcBorders>
              <w:top w:val="single" w:color="auto" w:sz="8" w:space="0"/>
              <w:left w:val="single" w:color="auto" w:sz="8" w:space="0"/>
              <w:bottom w:val="single" w:color="auto" w:sz="8" w:space="0"/>
              <w:right w:val="single" w:color="auto" w:sz="8" w:space="0"/>
            </w:tcBorders>
            <w:vAlign w:val="center"/>
          </w:tcPr>
          <w:p w14:paraId="2442D2CF">
            <w:pPr>
              <w:spacing w:before="120" w:beforeLines="50" w:after="120" w:afterLines="50"/>
              <w:jc w:val="center"/>
              <w:rPr>
                <w:szCs w:val="21"/>
              </w:rPr>
            </w:pPr>
            <w:r>
              <w:rPr>
                <w:szCs w:val="21"/>
              </w:rPr>
              <w:t>评分项</w:t>
            </w:r>
          </w:p>
        </w:tc>
        <w:tc>
          <w:tcPr>
            <w:tcW w:w="5277" w:type="dxa"/>
            <w:tcBorders>
              <w:top w:val="single" w:color="auto" w:sz="8" w:space="0"/>
              <w:left w:val="single" w:color="auto" w:sz="8" w:space="0"/>
              <w:bottom w:val="single" w:color="auto" w:sz="8" w:space="0"/>
              <w:right w:val="single" w:color="auto" w:sz="8" w:space="0"/>
            </w:tcBorders>
            <w:vAlign w:val="center"/>
          </w:tcPr>
          <w:p w14:paraId="3C5ABC9B">
            <w:pPr>
              <w:spacing w:before="120" w:beforeLines="50" w:after="120" w:afterLines="50"/>
              <w:jc w:val="center"/>
              <w:rPr>
                <w:szCs w:val="21"/>
              </w:rPr>
            </w:pPr>
            <w:r>
              <w:rPr>
                <w:szCs w:val="21"/>
              </w:rPr>
              <w:t>评分标准</w:t>
            </w:r>
          </w:p>
        </w:tc>
        <w:tc>
          <w:tcPr>
            <w:tcW w:w="992" w:type="dxa"/>
            <w:tcBorders>
              <w:top w:val="single" w:color="auto" w:sz="8" w:space="0"/>
              <w:left w:val="single" w:color="auto" w:sz="8" w:space="0"/>
              <w:bottom w:val="single" w:color="auto" w:sz="8" w:space="0"/>
              <w:right w:val="single" w:color="auto" w:sz="8" w:space="0"/>
            </w:tcBorders>
            <w:vAlign w:val="center"/>
          </w:tcPr>
          <w:p w14:paraId="0B087CF5">
            <w:pPr>
              <w:spacing w:before="120" w:beforeLines="50" w:after="120" w:afterLines="50"/>
              <w:jc w:val="center"/>
              <w:rPr>
                <w:szCs w:val="21"/>
              </w:rPr>
            </w:pPr>
            <w:r>
              <w:rPr>
                <w:szCs w:val="21"/>
              </w:rPr>
              <w:t>分值</w:t>
            </w:r>
          </w:p>
          <w:p w14:paraId="55D2E125">
            <w:pPr>
              <w:spacing w:before="120" w:beforeLines="50" w:after="120" w:afterLines="50"/>
              <w:jc w:val="center"/>
              <w:rPr>
                <w:szCs w:val="21"/>
              </w:rPr>
            </w:pPr>
            <w:r>
              <w:rPr>
                <w:szCs w:val="21"/>
              </w:rPr>
              <w:t>范围</w:t>
            </w:r>
          </w:p>
        </w:tc>
      </w:tr>
      <w:tr w14:paraId="6C0DE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6" w:hRule="atLeast"/>
          <w:jc w:val="center"/>
        </w:trPr>
        <w:tc>
          <w:tcPr>
            <w:tcW w:w="1240" w:type="dxa"/>
            <w:tcBorders>
              <w:top w:val="single" w:color="auto" w:sz="8" w:space="0"/>
              <w:left w:val="single" w:color="auto" w:sz="8" w:space="0"/>
              <w:bottom w:val="single" w:color="auto" w:sz="8" w:space="0"/>
              <w:right w:val="single" w:color="auto" w:sz="8" w:space="0"/>
            </w:tcBorders>
            <w:vAlign w:val="center"/>
          </w:tcPr>
          <w:p w14:paraId="72F530AB">
            <w:pPr>
              <w:spacing w:before="120" w:beforeLines="50" w:after="120" w:afterLines="50"/>
              <w:jc w:val="center"/>
              <w:rPr>
                <w:szCs w:val="21"/>
              </w:rPr>
            </w:pPr>
            <w:r>
              <w:rPr>
                <w:szCs w:val="21"/>
              </w:rPr>
              <w:t>价格部分</w:t>
            </w:r>
          </w:p>
          <w:p w14:paraId="6D2F6371">
            <w:pPr>
              <w:spacing w:before="120" w:beforeLines="50" w:after="120" w:afterLines="50"/>
              <w:jc w:val="center"/>
              <w:rPr>
                <w:szCs w:val="21"/>
              </w:rPr>
            </w:pPr>
            <w:r>
              <w:rPr>
                <w:szCs w:val="21"/>
              </w:rPr>
              <w:t>（</w:t>
            </w:r>
            <w:r>
              <w:rPr>
                <w:rFonts w:hint="eastAsia"/>
                <w:szCs w:val="21"/>
                <w:lang w:val="en-US" w:eastAsia="zh-CN"/>
              </w:rPr>
              <w:t>15</w:t>
            </w:r>
            <w:r>
              <w:rPr>
                <w:szCs w:val="21"/>
              </w:rPr>
              <w:t>分）</w:t>
            </w:r>
          </w:p>
        </w:tc>
        <w:tc>
          <w:tcPr>
            <w:tcW w:w="1246" w:type="dxa"/>
            <w:tcBorders>
              <w:top w:val="single" w:color="auto" w:sz="8" w:space="0"/>
              <w:left w:val="single" w:color="auto" w:sz="8" w:space="0"/>
              <w:bottom w:val="single" w:color="auto" w:sz="8" w:space="0"/>
              <w:right w:val="single" w:color="auto" w:sz="8" w:space="0"/>
            </w:tcBorders>
            <w:vAlign w:val="center"/>
          </w:tcPr>
          <w:p w14:paraId="23856AEA">
            <w:pPr>
              <w:spacing w:before="120" w:beforeLines="50" w:after="120" w:afterLines="50"/>
              <w:jc w:val="center"/>
              <w:rPr>
                <w:szCs w:val="21"/>
              </w:rPr>
            </w:pPr>
            <w:r>
              <w:rPr>
                <w:szCs w:val="21"/>
              </w:rPr>
              <w:t>投标报价</w:t>
            </w:r>
          </w:p>
          <w:p w14:paraId="2318DCAB">
            <w:pPr>
              <w:spacing w:before="120" w:beforeLines="50" w:after="120" w:afterLines="50"/>
              <w:jc w:val="center"/>
              <w:rPr>
                <w:szCs w:val="21"/>
              </w:rPr>
            </w:pPr>
            <w:r>
              <w:rPr>
                <w:szCs w:val="21"/>
              </w:rPr>
              <w:t>（</w:t>
            </w:r>
            <w:r>
              <w:rPr>
                <w:rFonts w:hint="eastAsia"/>
                <w:szCs w:val="21"/>
                <w:lang w:val="en-US" w:eastAsia="zh-CN"/>
              </w:rPr>
              <w:t>15</w:t>
            </w:r>
            <w:r>
              <w:rPr>
                <w:szCs w:val="21"/>
              </w:rPr>
              <w:t>分）</w:t>
            </w:r>
          </w:p>
        </w:tc>
        <w:tc>
          <w:tcPr>
            <w:tcW w:w="5277" w:type="dxa"/>
            <w:tcBorders>
              <w:top w:val="single" w:color="auto" w:sz="8" w:space="0"/>
              <w:left w:val="single" w:color="auto" w:sz="8" w:space="0"/>
              <w:bottom w:val="single" w:color="auto" w:sz="8" w:space="0"/>
              <w:right w:val="single" w:color="auto" w:sz="8" w:space="0"/>
            </w:tcBorders>
            <w:vAlign w:val="center"/>
          </w:tcPr>
          <w:p w14:paraId="09BC2269">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评标基准价（K）计算方法：</w:t>
            </w:r>
          </w:p>
          <w:p w14:paraId="237BA7C8">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1.若有效评标价为小于等于3家时，则各投标人有效评标价的平均值K为评标基准价。【基准价计算公式：K= { (P1+P2+P3+…+Pn)/n）}；（n≤3）】</w:t>
            </w:r>
          </w:p>
          <w:p w14:paraId="69F9FA1A">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2.若有效评标价为4-6家时，则去掉最高有效评标价后其余各投标人有效评标价的平均值K为评标基准价。【基准价计算公式：K= {（P1+P2+P3+…+Pn-1)/(n-1)}；（4≤n≤6）】</w:t>
            </w:r>
          </w:p>
          <w:p w14:paraId="129B4ABB">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3.若有效评标价为7家（含7家）以上时，则去掉最高有效评标价和最低有效评标价后其余各投标人有效评标价的平均值K为评标基准价。【基准价计算公式：K= {（P2+P3+P4+…+Pn-1)/(n-2)}；(n≥7)】</w:t>
            </w:r>
          </w:p>
          <w:p w14:paraId="19F8E58F">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4. 有效评标价计算评标基准价时，若开标时投标人为7家及以上，通过评审后合格投标人少于7家，则按照上述1和2原则进行计算。</w:t>
            </w:r>
          </w:p>
          <w:p w14:paraId="292E7D21">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报价分计算办法：</w:t>
            </w:r>
          </w:p>
          <w:p w14:paraId="70DDCBA0">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（1）若评标价P等于K时，得10分（基准分）；</w:t>
            </w:r>
          </w:p>
          <w:p w14:paraId="1796A633">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（2）评标价P每高于评标基准价1%在基准分基础上扣1分，最低得0分；</w:t>
            </w:r>
          </w:p>
          <w:p w14:paraId="1344ABF6">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（3）评标价P每低于评标基准价1%在基准分基础上加1分，最高为15分；</w:t>
            </w:r>
          </w:p>
          <w:p w14:paraId="14A1E4E8">
            <w:pPr>
              <w:keepNext w:val="0"/>
              <w:keepLines w:val="0"/>
              <w:pageBreakBefore w:val="0"/>
              <w:widowControl w:val="0"/>
              <w:kinsoku/>
              <w:wordWrap/>
              <w:overflowPunct/>
              <w:topLinePunct w:val="0"/>
              <w:autoSpaceDE/>
              <w:autoSpaceDN/>
              <w:bidi w:val="0"/>
              <w:adjustRightInd/>
              <w:snapToGrid/>
              <w:jc w:val="both"/>
              <w:textAlignment w:val="auto"/>
              <w:rPr>
                <w:szCs w:val="21"/>
              </w:rPr>
            </w:pPr>
            <w:r>
              <w:rPr>
                <w:rFonts w:hint="eastAsia"/>
                <w:szCs w:val="21"/>
              </w:rPr>
              <w:t>（4）若评标价P低于评标基准价5%以上时，每再低1%在15分基础上扣1分；报价得分计算为负的，按0分计。</w:t>
            </w:r>
          </w:p>
        </w:tc>
        <w:tc>
          <w:tcPr>
            <w:tcW w:w="992" w:type="dxa"/>
            <w:tcBorders>
              <w:top w:val="single" w:color="auto" w:sz="8" w:space="0"/>
              <w:left w:val="single" w:color="auto" w:sz="8" w:space="0"/>
              <w:bottom w:val="single" w:color="auto" w:sz="8" w:space="0"/>
              <w:right w:val="single" w:color="auto" w:sz="8" w:space="0"/>
            </w:tcBorders>
            <w:vAlign w:val="center"/>
          </w:tcPr>
          <w:p w14:paraId="144F4F54">
            <w:pPr>
              <w:spacing w:before="120" w:beforeLines="50" w:after="120" w:afterLines="50"/>
              <w:jc w:val="center"/>
              <w:rPr>
                <w:rFonts w:hint="default" w:eastAsia="宋体"/>
                <w:szCs w:val="21"/>
                <w:lang w:val="en-US" w:eastAsia="zh-CN"/>
              </w:rPr>
            </w:pPr>
            <w:r>
              <w:rPr>
                <w:szCs w:val="21"/>
              </w:rPr>
              <w:t>0-</w:t>
            </w:r>
            <w:r>
              <w:rPr>
                <w:rFonts w:hint="eastAsia"/>
                <w:szCs w:val="21"/>
                <w:lang w:val="en-US" w:eastAsia="zh-CN"/>
              </w:rPr>
              <w:t>15</w:t>
            </w:r>
          </w:p>
        </w:tc>
      </w:tr>
      <w:tr w14:paraId="41920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1240" w:type="dxa"/>
            <w:vMerge w:val="restart"/>
            <w:tcBorders>
              <w:top w:val="single" w:color="auto" w:sz="8" w:space="0"/>
              <w:left w:val="single" w:color="auto" w:sz="8" w:space="0"/>
              <w:right w:val="single" w:color="auto" w:sz="8" w:space="0"/>
            </w:tcBorders>
            <w:vAlign w:val="center"/>
          </w:tcPr>
          <w:p w14:paraId="54EC68F5">
            <w:pPr>
              <w:spacing w:before="120" w:beforeLines="50" w:after="120" w:afterLines="50"/>
              <w:jc w:val="center"/>
              <w:rPr>
                <w:szCs w:val="21"/>
              </w:rPr>
            </w:pPr>
            <w:r>
              <w:rPr>
                <w:szCs w:val="21"/>
              </w:rPr>
              <w:t>商务部分（2</w:t>
            </w:r>
            <w:r>
              <w:rPr>
                <w:rFonts w:hint="eastAsia"/>
                <w:szCs w:val="21"/>
                <w:lang w:val="en-US" w:eastAsia="zh-CN"/>
              </w:rPr>
              <w:t>8</w:t>
            </w:r>
            <w:r>
              <w:rPr>
                <w:szCs w:val="21"/>
              </w:rPr>
              <w:t>分）</w:t>
            </w:r>
          </w:p>
        </w:tc>
        <w:tc>
          <w:tcPr>
            <w:tcW w:w="1246" w:type="dxa"/>
            <w:tcBorders>
              <w:top w:val="single" w:color="auto" w:sz="8" w:space="0"/>
              <w:left w:val="single" w:color="auto" w:sz="8" w:space="0"/>
              <w:bottom w:val="single" w:color="auto" w:sz="8" w:space="0"/>
              <w:right w:val="single" w:color="auto" w:sz="8" w:space="0"/>
            </w:tcBorders>
            <w:vAlign w:val="center"/>
          </w:tcPr>
          <w:p w14:paraId="0147A7C6">
            <w:pPr>
              <w:spacing w:before="120" w:beforeLines="50" w:after="120" w:afterLines="50"/>
              <w:jc w:val="center"/>
              <w:rPr>
                <w:szCs w:val="21"/>
              </w:rPr>
            </w:pPr>
            <w:r>
              <w:rPr>
                <w:szCs w:val="21"/>
              </w:rPr>
              <w:t>管理体系认证</w:t>
            </w:r>
          </w:p>
          <w:p w14:paraId="18B37792">
            <w:pPr>
              <w:spacing w:before="120" w:beforeLines="50" w:after="120" w:afterLines="50"/>
              <w:jc w:val="center"/>
              <w:rPr>
                <w:szCs w:val="21"/>
              </w:rPr>
            </w:pPr>
            <w:r>
              <w:rPr>
                <w:szCs w:val="21"/>
              </w:rPr>
              <w:t>（10分）</w:t>
            </w:r>
          </w:p>
        </w:tc>
        <w:tc>
          <w:tcPr>
            <w:tcW w:w="5277" w:type="dxa"/>
            <w:tcBorders>
              <w:top w:val="single" w:color="auto" w:sz="8" w:space="0"/>
              <w:left w:val="single" w:color="auto" w:sz="8" w:space="0"/>
              <w:bottom w:val="single" w:color="auto" w:sz="8" w:space="0"/>
              <w:right w:val="single" w:color="auto" w:sz="8" w:space="0"/>
            </w:tcBorders>
            <w:vAlign w:val="center"/>
          </w:tcPr>
          <w:p w14:paraId="4742EE85">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szCs w:val="21"/>
              </w:rPr>
              <w:t>依据投标人具有的经中国国家认证认可监督管理委员会认证机构颁发的有效的下列证书，满分</w:t>
            </w:r>
            <w:r>
              <w:rPr>
                <w:rFonts w:hint="eastAsia"/>
                <w:szCs w:val="21"/>
              </w:rPr>
              <w:t>10</w:t>
            </w:r>
            <w:r>
              <w:rPr>
                <w:szCs w:val="21"/>
              </w:rPr>
              <w:t>分：</w:t>
            </w:r>
            <w:r>
              <w:rPr>
                <w:szCs w:val="21"/>
              </w:rPr>
              <w:br w:type="textWrapping"/>
            </w:r>
            <w:r>
              <w:rPr>
                <w:rFonts w:hint="eastAsia"/>
                <w:szCs w:val="21"/>
              </w:rPr>
              <w:t>1.具备质量管理体系认证证书（认证范围包含餐饮管理和服务）；</w:t>
            </w:r>
          </w:p>
          <w:p w14:paraId="12AEC350">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2.具备职业健康安全管理体系认证证书（认证范围包含餐饮管理和服务）；</w:t>
            </w:r>
          </w:p>
          <w:p w14:paraId="420833DD">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3.具备环境管理体系认证证书（认证范围包含餐饮管理和服务）；</w:t>
            </w:r>
          </w:p>
          <w:p w14:paraId="5A4ED853">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4.具备食品安全管理体系认证证书（认证范围包含餐饮管理和服务）；</w:t>
            </w:r>
          </w:p>
          <w:p w14:paraId="269A1D4B">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5.具备危害分析与关键控制点体系认证证书（认证范围包含餐饮管理和服务）；</w:t>
            </w:r>
          </w:p>
          <w:p w14:paraId="0DFF5458">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6.具备能源管理体系认证证书；</w:t>
            </w:r>
          </w:p>
          <w:p w14:paraId="689C1D2D">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 xml:space="preserve">7.具备社会责任管理体系认证证书； </w:t>
            </w:r>
          </w:p>
          <w:p w14:paraId="0147BF37">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8.具备售后服务体系认证证书；</w:t>
            </w:r>
          </w:p>
          <w:p w14:paraId="40C9E6DF">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9.具备供应链安全管理体系认证证书；</w:t>
            </w:r>
          </w:p>
          <w:p w14:paraId="46D408AA">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10.具备企业诚信管理体系认证证书；</w:t>
            </w:r>
          </w:p>
          <w:p w14:paraId="0E5FB96F">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11.具备餐饮服务认证证书；</w:t>
            </w:r>
          </w:p>
          <w:p w14:paraId="01504006">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12.具备合规管理体系认证证书；</w:t>
            </w:r>
          </w:p>
          <w:p w14:paraId="43270CB6">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13.具备安全风险管理体系认证证书；</w:t>
            </w:r>
          </w:p>
          <w:p w14:paraId="791541AF">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14.具备信息安全管理体系认证证书；</w:t>
            </w:r>
          </w:p>
          <w:p w14:paraId="04DFCAC1">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15.具备反贿赂管理体系认证证书；</w:t>
            </w:r>
          </w:p>
          <w:p w14:paraId="53840ED0">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16.具备应急预案管理能力评价认证证书</w:t>
            </w:r>
          </w:p>
          <w:p w14:paraId="5DABAC14">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17.具备履约能力达标评测认证证书</w:t>
            </w:r>
          </w:p>
          <w:p w14:paraId="01B2C6C4">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rPr>
            </w:pPr>
            <w:r>
              <w:rPr>
                <w:rFonts w:hint="eastAsia"/>
                <w:szCs w:val="21"/>
              </w:rPr>
              <w:t>18.具备安全生产标准化认证证书</w:t>
            </w:r>
          </w:p>
          <w:p w14:paraId="5F019BBA">
            <w:pPr>
              <w:keepNext w:val="0"/>
              <w:keepLines w:val="0"/>
              <w:pageBreakBefore w:val="0"/>
              <w:widowControl w:val="0"/>
              <w:kinsoku/>
              <w:wordWrap/>
              <w:overflowPunct/>
              <w:topLinePunct w:val="0"/>
              <w:autoSpaceDE/>
              <w:autoSpaceDN/>
              <w:bidi w:val="0"/>
              <w:adjustRightInd/>
              <w:snapToGrid/>
              <w:jc w:val="both"/>
              <w:textAlignment w:val="auto"/>
              <w:rPr>
                <w:szCs w:val="21"/>
              </w:rPr>
            </w:pPr>
            <w:r>
              <w:rPr>
                <w:rFonts w:hint="eastAsia"/>
                <w:szCs w:val="21"/>
              </w:rPr>
              <w:t>19.具备食品可追溯性管理体系认证证书</w:t>
            </w:r>
            <w:r>
              <w:rPr>
                <w:szCs w:val="21"/>
              </w:rPr>
              <w:br w:type="textWrapping"/>
            </w:r>
            <w:r>
              <w:rPr>
                <w:szCs w:val="21"/>
              </w:rPr>
              <w:t xml:space="preserve">以上每具备一项认证证书的得1分，最多得10分。投标文件中提供上述证书影印件，同时附中国国家认证认可监督管理委员会网站证书状态查询截图，须在有效期内。 </w:t>
            </w:r>
          </w:p>
        </w:tc>
        <w:tc>
          <w:tcPr>
            <w:tcW w:w="992" w:type="dxa"/>
            <w:tcBorders>
              <w:top w:val="single" w:color="auto" w:sz="8" w:space="0"/>
              <w:left w:val="single" w:color="auto" w:sz="8" w:space="0"/>
              <w:bottom w:val="single" w:color="auto" w:sz="8" w:space="0"/>
              <w:right w:val="single" w:color="auto" w:sz="8" w:space="0"/>
            </w:tcBorders>
            <w:vAlign w:val="center"/>
          </w:tcPr>
          <w:p w14:paraId="48C50AEE">
            <w:pPr>
              <w:spacing w:before="120" w:beforeLines="50" w:after="120" w:afterLines="50"/>
              <w:jc w:val="center"/>
              <w:rPr>
                <w:szCs w:val="21"/>
              </w:rPr>
            </w:pPr>
            <w:r>
              <w:rPr>
                <w:szCs w:val="21"/>
              </w:rPr>
              <w:t>0-10</w:t>
            </w:r>
          </w:p>
        </w:tc>
      </w:tr>
      <w:tr w14:paraId="212BC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atLeast"/>
          <w:jc w:val="center"/>
        </w:trPr>
        <w:tc>
          <w:tcPr>
            <w:tcW w:w="1240" w:type="dxa"/>
            <w:vMerge w:val="continue"/>
            <w:tcBorders>
              <w:left w:val="single" w:color="auto" w:sz="8" w:space="0"/>
              <w:right w:val="single" w:color="auto" w:sz="8" w:space="0"/>
            </w:tcBorders>
            <w:vAlign w:val="center"/>
          </w:tcPr>
          <w:p w14:paraId="4DE4952F">
            <w:pPr>
              <w:spacing w:before="120" w:beforeLines="50" w:after="120" w:afterLines="50"/>
              <w:jc w:val="center"/>
              <w:rPr>
                <w:szCs w:val="21"/>
              </w:rPr>
            </w:pPr>
          </w:p>
        </w:tc>
        <w:tc>
          <w:tcPr>
            <w:tcW w:w="1246" w:type="dxa"/>
            <w:tcBorders>
              <w:top w:val="single" w:color="auto" w:sz="8" w:space="0"/>
              <w:left w:val="single" w:color="auto" w:sz="8" w:space="0"/>
              <w:bottom w:val="single" w:color="auto" w:sz="8" w:space="0"/>
              <w:right w:val="single" w:color="auto" w:sz="8" w:space="0"/>
            </w:tcBorders>
            <w:vAlign w:val="center"/>
          </w:tcPr>
          <w:p w14:paraId="5A339692">
            <w:pPr>
              <w:spacing w:before="120" w:beforeLines="50" w:after="120" w:afterLines="50"/>
              <w:jc w:val="center"/>
              <w:rPr>
                <w:szCs w:val="21"/>
              </w:rPr>
            </w:pPr>
            <w:r>
              <w:rPr>
                <w:szCs w:val="21"/>
              </w:rPr>
              <w:t>同类型项目案例</w:t>
            </w:r>
          </w:p>
          <w:p w14:paraId="06AAF71C">
            <w:pPr>
              <w:spacing w:before="120" w:beforeLines="50" w:after="120" w:afterLines="50"/>
              <w:jc w:val="center"/>
              <w:rPr>
                <w:szCs w:val="21"/>
              </w:rPr>
            </w:pPr>
            <w:r>
              <w:rPr>
                <w:szCs w:val="21"/>
              </w:rPr>
              <w:t>（6分）</w:t>
            </w:r>
          </w:p>
        </w:tc>
        <w:tc>
          <w:tcPr>
            <w:tcW w:w="5277" w:type="dxa"/>
            <w:tcBorders>
              <w:top w:val="single" w:color="auto" w:sz="8" w:space="0"/>
              <w:left w:val="single" w:color="auto" w:sz="8" w:space="0"/>
              <w:bottom w:val="single" w:color="auto" w:sz="8" w:space="0"/>
              <w:right w:val="single" w:color="auto" w:sz="8" w:space="0"/>
            </w:tcBorders>
            <w:vAlign w:val="center"/>
          </w:tcPr>
          <w:p w14:paraId="7C6D771F">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 xml:space="preserve">1、投标人自开标日近36个月内用餐人员不少于500人机关、企事业单位餐饮服务项目同类型案例，需提供合同彩色扫描件，包含首页、就餐人数页及签字盖章页（合同无就餐人数的须提供业主出具并盖章的就餐人数证明文件），每个案例得0.5分，最高3分； </w:t>
            </w:r>
            <w:r>
              <w:rPr>
                <w:szCs w:val="21"/>
              </w:rPr>
              <w:br w:type="textWrapping"/>
            </w:r>
            <w:r>
              <w:rPr>
                <w:szCs w:val="21"/>
              </w:rPr>
              <w:t>2、投标人自开标日近36个月内年合同金额不少于</w:t>
            </w:r>
            <w:r>
              <w:rPr>
                <w:rFonts w:hint="eastAsia"/>
                <w:szCs w:val="21"/>
              </w:rPr>
              <w:t>5</w:t>
            </w:r>
            <w:r>
              <w:rPr>
                <w:szCs w:val="21"/>
              </w:rPr>
              <w:t>00万的机关、企事业单位餐饮服务项目同类型案例，需提供合同彩色扫描件，包含首页、金额页及签字盖章页（</w:t>
            </w:r>
            <w:r>
              <w:rPr>
                <w:rFonts w:hint="eastAsia"/>
                <w:szCs w:val="21"/>
              </w:rPr>
              <w:t>如合同不显示金额的则须提供发票与对应的收款凭证等证明文件</w:t>
            </w:r>
            <w:r>
              <w:rPr>
                <w:szCs w:val="21"/>
              </w:rPr>
              <w:t xml:space="preserve">），每个案例得0.5分，最高3分； </w:t>
            </w:r>
          </w:p>
        </w:tc>
        <w:tc>
          <w:tcPr>
            <w:tcW w:w="992" w:type="dxa"/>
            <w:tcBorders>
              <w:top w:val="single" w:color="auto" w:sz="8" w:space="0"/>
              <w:left w:val="single" w:color="auto" w:sz="8" w:space="0"/>
              <w:bottom w:val="single" w:color="auto" w:sz="8" w:space="0"/>
              <w:right w:val="single" w:color="auto" w:sz="8" w:space="0"/>
            </w:tcBorders>
            <w:vAlign w:val="center"/>
          </w:tcPr>
          <w:p w14:paraId="20C5F513">
            <w:pPr>
              <w:spacing w:before="120" w:beforeLines="50" w:after="120" w:afterLines="50"/>
              <w:jc w:val="center"/>
              <w:rPr>
                <w:szCs w:val="21"/>
              </w:rPr>
            </w:pPr>
            <w:r>
              <w:rPr>
                <w:szCs w:val="21"/>
              </w:rPr>
              <w:t>0-6</w:t>
            </w:r>
          </w:p>
        </w:tc>
      </w:tr>
      <w:tr w14:paraId="4DA36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1240" w:type="dxa"/>
            <w:vMerge w:val="continue"/>
            <w:tcBorders>
              <w:left w:val="single" w:color="auto" w:sz="8" w:space="0"/>
              <w:right w:val="single" w:color="auto" w:sz="8" w:space="0"/>
            </w:tcBorders>
            <w:vAlign w:val="center"/>
          </w:tcPr>
          <w:p w14:paraId="6F44DFA9">
            <w:pPr>
              <w:spacing w:before="120" w:beforeLines="50" w:after="120" w:afterLines="50"/>
              <w:jc w:val="center"/>
              <w:rPr>
                <w:szCs w:val="21"/>
              </w:rPr>
            </w:pPr>
          </w:p>
        </w:tc>
        <w:tc>
          <w:tcPr>
            <w:tcW w:w="1246" w:type="dxa"/>
            <w:tcBorders>
              <w:top w:val="single" w:color="auto" w:sz="8" w:space="0"/>
              <w:left w:val="single" w:color="auto" w:sz="8" w:space="0"/>
              <w:bottom w:val="single" w:color="auto" w:sz="8" w:space="0"/>
              <w:right w:val="single" w:color="auto" w:sz="8" w:space="0"/>
            </w:tcBorders>
            <w:vAlign w:val="center"/>
          </w:tcPr>
          <w:p w14:paraId="6389718F">
            <w:pPr>
              <w:spacing w:before="120" w:beforeLines="50" w:after="120" w:afterLines="50"/>
              <w:jc w:val="center"/>
              <w:rPr>
                <w:rFonts w:hint="default" w:eastAsia="宋体"/>
                <w:szCs w:val="21"/>
                <w:lang w:val="en-US" w:eastAsia="zh-CN"/>
              </w:rPr>
            </w:pPr>
            <w:r>
              <w:rPr>
                <w:szCs w:val="21"/>
              </w:rPr>
              <w:t>品牌荣誉</w:t>
            </w:r>
            <w:r>
              <w:rPr>
                <w:rFonts w:hint="eastAsia"/>
                <w:szCs w:val="21"/>
                <w:lang w:val="en-US" w:eastAsia="zh-CN"/>
              </w:rPr>
              <w:t>及保障能力</w:t>
            </w:r>
          </w:p>
          <w:p w14:paraId="5A05F54F">
            <w:pPr>
              <w:spacing w:before="120" w:beforeLines="50" w:after="120" w:afterLines="50"/>
              <w:jc w:val="center"/>
              <w:rPr>
                <w:szCs w:val="21"/>
              </w:rPr>
            </w:pPr>
            <w:r>
              <w:rPr>
                <w:szCs w:val="21"/>
              </w:rPr>
              <w:t>（</w:t>
            </w:r>
            <w:r>
              <w:rPr>
                <w:rFonts w:hint="eastAsia"/>
                <w:szCs w:val="21"/>
                <w:lang w:val="en-US" w:eastAsia="zh-CN"/>
              </w:rPr>
              <w:t>2</w:t>
            </w:r>
            <w:r>
              <w:rPr>
                <w:szCs w:val="21"/>
              </w:rPr>
              <w:t>分）</w:t>
            </w:r>
          </w:p>
        </w:tc>
        <w:tc>
          <w:tcPr>
            <w:tcW w:w="5277" w:type="dxa"/>
            <w:tcBorders>
              <w:top w:val="single" w:color="auto" w:sz="8" w:space="0"/>
              <w:left w:val="single" w:color="auto" w:sz="8" w:space="0"/>
              <w:bottom w:val="single" w:color="auto" w:sz="8" w:space="0"/>
              <w:right w:val="single" w:color="auto" w:sz="8" w:space="0"/>
            </w:tcBorders>
            <w:vAlign w:val="center"/>
          </w:tcPr>
          <w:p w14:paraId="49C6DC5F">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1、投标人近三年荣获民政部备案的行业协会颁发的“中国团餐百强企业”、“中国餐饮企业TOP100”、“中国餐饮百强企业”、“最具影响力品牌”等相关荣誉称号的，得</w:t>
            </w:r>
            <w:r>
              <w:rPr>
                <w:rFonts w:hint="eastAsia"/>
                <w:szCs w:val="21"/>
                <w:lang w:val="en-US" w:eastAsia="zh-CN"/>
              </w:rPr>
              <w:t>0.5</w:t>
            </w:r>
            <w:r>
              <w:rPr>
                <w:szCs w:val="21"/>
              </w:rPr>
              <w:t>分，不能提供的</w:t>
            </w:r>
            <w:r>
              <w:rPr>
                <w:rFonts w:hint="eastAsia"/>
                <w:szCs w:val="21"/>
                <w:lang w:val="en-US" w:eastAsia="zh-CN"/>
              </w:rPr>
              <w:t>不得分</w:t>
            </w:r>
            <w:r>
              <w:rPr>
                <w:szCs w:val="21"/>
              </w:rPr>
              <w:t>。</w:t>
            </w:r>
            <w:r>
              <w:rPr>
                <w:szCs w:val="21"/>
              </w:rPr>
              <w:br w:type="textWrapping"/>
            </w:r>
            <w:r>
              <w:rPr>
                <w:szCs w:val="21"/>
              </w:rPr>
              <w:t>2、服务客户的就餐满意度情况</w:t>
            </w:r>
            <w:r>
              <w:rPr>
                <w:szCs w:val="21"/>
              </w:rPr>
              <w:br w:type="textWrapping"/>
            </w:r>
            <w:r>
              <w:rPr>
                <w:szCs w:val="21"/>
              </w:rPr>
              <w:t>投标人每提供1家近3年员工就餐满意度在85%以上或95分以上的满意度调查表或类似证明函的得0.5分；（以上须提供投标人与服务客户的合同首尾页、及该服务客户出具的证明文件并加盖服务客户的印章，未提供的不得分）</w:t>
            </w:r>
            <w:r>
              <w:rPr>
                <w:szCs w:val="21"/>
              </w:rPr>
              <w:br w:type="textWrapping"/>
            </w:r>
            <w:r>
              <w:rPr>
                <w:rFonts w:hint="eastAsia"/>
                <w:szCs w:val="21"/>
                <w:lang w:val="en-US" w:eastAsia="zh-CN"/>
              </w:rPr>
              <w:t>3</w:t>
            </w:r>
            <w:r>
              <w:rPr>
                <w:szCs w:val="21"/>
              </w:rPr>
              <w:t>、投标人应具备充足的在册人员以备本项目的应急支援。根据投标人截止2024年</w:t>
            </w:r>
            <w:r>
              <w:rPr>
                <w:rFonts w:hint="eastAsia"/>
                <w:szCs w:val="21"/>
                <w:lang w:val="en-US" w:eastAsia="zh-CN"/>
              </w:rPr>
              <w:t>12</w:t>
            </w:r>
            <w:r>
              <w:rPr>
                <w:szCs w:val="21"/>
              </w:rPr>
              <w:t>月缴纳社保总人数评分，缴纳社保总人数1000人及以上的得得标准分</w:t>
            </w:r>
            <w:r>
              <w:rPr>
                <w:rFonts w:hint="eastAsia"/>
                <w:szCs w:val="21"/>
                <w:lang w:val="en-US" w:eastAsia="zh-CN"/>
              </w:rPr>
              <w:t>1</w:t>
            </w:r>
            <w:r>
              <w:rPr>
                <w:szCs w:val="21"/>
              </w:rPr>
              <w:t>分，500-1000人的得</w:t>
            </w:r>
            <w:r>
              <w:rPr>
                <w:rFonts w:hint="eastAsia"/>
                <w:szCs w:val="21"/>
                <w:lang w:val="en-US" w:eastAsia="zh-CN"/>
              </w:rPr>
              <w:t>0.5</w:t>
            </w:r>
            <w:r>
              <w:rPr>
                <w:szCs w:val="21"/>
              </w:rPr>
              <w:t>分，500人以下的</w:t>
            </w:r>
            <w:r>
              <w:rPr>
                <w:rFonts w:hint="eastAsia"/>
                <w:szCs w:val="21"/>
                <w:lang w:val="en-US" w:eastAsia="zh-CN"/>
              </w:rPr>
              <w:t>不得分</w:t>
            </w:r>
            <w:r>
              <w:rPr>
                <w:szCs w:val="21"/>
              </w:rPr>
              <w:t>。（以社保机构提供的相关证明材料或投标人社保系统首页截图）</w:t>
            </w:r>
          </w:p>
        </w:tc>
        <w:tc>
          <w:tcPr>
            <w:tcW w:w="992" w:type="dxa"/>
            <w:tcBorders>
              <w:top w:val="single" w:color="auto" w:sz="8" w:space="0"/>
              <w:left w:val="single" w:color="auto" w:sz="8" w:space="0"/>
              <w:bottom w:val="single" w:color="auto" w:sz="8" w:space="0"/>
              <w:right w:val="single" w:color="auto" w:sz="8" w:space="0"/>
            </w:tcBorders>
            <w:vAlign w:val="center"/>
          </w:tcPr>
          <w:p w14:paraId="0C1207E9">
            <w:pPr>
              <w:spacing w:before="120" w:beforeLines="50" w:after="120" w:afterLines="50"/>
              <w:jc w:val="center"/>
              <w:rPr>
                <w:rFonts w:hint="eastAsia" w:eastAsia="宋体"/>
                <w:szCs w:val="21"/>
                <w:lang w:eastAsia="zh-CN"/>
              </w:rPr>
            </w:pPr>
            <w:r>
              <w:rPr>
                <w:szCs w:val="21"/>
              </w:rPr>
              <w:t>0-</w:t>
            </w:r>
            <w:r>
              <w:rPr>
                <w:rFonts w:hint="eastAsia"/>
                <w:szCs w:val="21"/>
                <w:lang w:val="en-US" w:eastAsia="zh-CN"/>
              </w:rPr>
              <w:t>2</w:t>
            </w:r>
          </w:p>
        </w:tc>
      </w:tr>
      <w:tr w14:paraId="5EEC9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1240" w:type="dxa"/>
            <w:vMerge w:val="continue"/>
            <w:tcBorders>
              <w:left w:val="single" w:color="auto" w:sz="8" w:space="0"/>
              <w:right w:val="single" w:color="auto" w:sz="8" w:space="0"/>
            </w:tcBorders>
            <w:vAlign w:val="center"/>
          </w:tcPr>
          <w:p w14:paraId="1E47F8E1">
            <w:pPr>
              <w:spacing w:before="120" w:beforeLines="50" w:after="120" w:afterLines="50"/>
              <w:jc w:val="center"/>
              <w:rPr>
                <w:szCs w:val="21"/>
              </w:rPr>
            </w:pPr>
          </w:p>
        </w:tc>
        <w:tc>
          <w:tcPr>
            <w:tcW w:w="1246" w:type="dxa"/>
            <w:vMerge w:val="restart"/>
            <w:tcBorders>
              <w:top w:val="single" w:color="auto" w:sz="8" w:space="0"/>
              <w:left w:val="single" w:color="auto" w:sz="8" w:space="0"/>
              <w:right w:val="single" w:color="auto" w:sz="8" w:space="0"/>
            </w:tcBorders>
            <w:vAlign w:val="center"/>
          </w:tcPr>
          <w:p w14:paraId="1889DBAF">
            <w:pPr>
              <w:spacing w:before="120" w:beforeLines="50" w:after="120" w:afterLines="50"/>
              <w:jc w:val="center"/>
              <w:rPr>
                <w:rFonts w:hint="eastAsia"/>
                <w:szCs w:val="21"/>
                <w:lang w:val="en-US" w:eastAsia="zh-CN"/>
              </w:rPr>
            </w:pPr>
            <w:r>
              <w:rPr>
                <w:rFonts w:hint="eastAsia"/>
                <w:szCs w:val="21"/>
                <w:lang w:val="en-US" w:eastAsia="zh-CN"/>
              </w:rPr>
              <w:t>企业安全保障</w:t>
            </w:r>
          </w:p>
          <w:p w14:paraId="76D4A9AC">
            <w:pPr>
              <w:spacing w:before="120" w:beforeLines="50" w:after="120" w:afterLines="50"/>
              <w:jc w:val="center"/>
              <w:rPr>
                <w:rFonts w:hint="default"/>
                <w:szCs w:val="21"/>
                <w:lang w:val="en-US" w:eastAsia="zh-CN"/>
              </w:rPr>
            </w:pPr>
            <w:r>
              <w:rPr>
                <w:rFonts w:hint="eastAsia"/>
                <w:szCs w:val="21"/>
                <w:lang w:val="en-US" w:eastAsia="zh-CN"/>
              </w:rPr>
              <w:t>（10分）</w:t>
            </w:r>
          </w:p>
        </w:tc>
        <w:tc>
          <w:tcPr>
            <w:tcW w:w="5277" w:type="dxa"/>
            <w:tcBorders>
              <w:top w:val="single" w:color="auto" w:sz="8" w:space="0"/>
              <w:left w:val="single" w:color="auto" w:sz="8" w:space="0"/>
              <w:bottom w:val="single" w:color="auto" w:sz="8" w:space="0"/>
              <w:right w:val="single" w:color="auto" w:sz="8" w:space="0"/>
            </w:tcBorders>
            <w:vAlign w:val="center"/>
          </w:tcPr>
          <w:p w14:paraId="64CD0216">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szCs w:val="21"/>
                <w:lang w:val="en-US" w:eastAsia="zh-CN"/>
              </w:rPr>
            </w:pPr>
            <w:r>
              <w:rPr>
                <w:rFonts w:hint="eastAsia"/>
                <w:szCs w:val="21"/>
              </w:rPr>
              <w:t>根据投标人商业综合责任险（公众责任险）投保额度（外币须换算成人民币），</w:t>
            </w:r>
            <w:r>
              <w:rPr>
                <w:rFonts w:hint="eastAsia"/>
                <w:szCs w:val="21"/>
                <w:lang w:val="en-US" w:eastAsia="zh-CN"/>
              </w:rPr>
              <w:t>金额＜1500万元得0分、</w:t>
            </w:r>
            <w:r>
              <w:rPr>
                <w:rFonts w:hint="eastAsia"/>
                <w:szCs w:val="21"/>
              </w:rPr>
              <w:t>150</w:t>
            </w:r>
            <w:r>
              <w:rPr>
                <w:rFonts w:hint="eastAsia"/>
                <w:szCs w:val="21"/>
                <w:lang w:val="en-US" w:eastAsia="zh-CN"/>
              </w:rPr>
              <w:t>0万元≤金额≤</w:t>
            </w:r>
            <w:r>
              <w:rPr>
                <w:rFonts w:hint="eastAsia"/>
                <w:szCs w:val="21"/>
              </w:rPr>
              <w:t>2000万</w:t>
            </w:r>
            <w:r>
              <w:rPr>
                <w:rFonts w:hint="eastAsia"/>
                <w:szCs w:val="21"/>
                <w:lang w:val="en-US" w:eastAsia="zh-CN"/>
              </w:rPr>
              <w:t>元</w:t>
            </w:r>
            <w:r>
              <w:rPr>
                <w:rFonts w:hint="eastAsia"/>
                <w:szCs w:val="21"/>
              </w:rPr>
              <w:t>得</w:t>
            </w:r>
            <w:r>
              <w:rPr>
                <w:rFonts w:hint="eastAsia"/>
                <w:szCs w:val="21"/>
                <w:lang w:val="en-US" w:eastAsia="zh-CN"/>
              </w:rPr>
              <w:t>1</w:t>
            </w:r>
            <w:r>
              <w:rPr>
                <w:rFonts w:hint="eastAsia"/>
                <w:szCs w:val="21"/>
              </w:rPr>
              <w:t>分、200</w:t>
            </w:r>
            <w:r>
              <w:rPr>
                <w:rFonts w:hint="eastAsia"/>
                <w:szCs w:val="21"/>
                <w:lang w:val="en-US" w:eastAsia="zh-CN"/>
              </w:rPr>
              <w:t>0万元≤金额≤</w:t>
            </w:r>
            <w:r>
              <w:rPr>
                <w:rFonts w:hint="eastAsia"/>
                <w:szCs w:val="21"/>
              </w:rPr>
              <w:t>2500万</w:t>
            </w:r>
            <w:r>
              <w:rPr>
                <w:rFonts w:hint="eastAsia"/>
                <w:szCs w:val="21"/>
                <w:lang w:val="en-US" w:eastAsia="zh-CN"/>
              </w:rPr>
              <w:t>元</w:t>
            </w:r>
            <w:r>
              <w:rPr>
                <w:rFonts w:hint="eastAsia"/>
                <w:szCs w:val="21"/>
              </w:rPr>
              <w:t>得</w:t>
            </w:r>
            <w:r>
              <w:rPr>
                <w:rFonts w:hint="eastAsia"/>
                <w:szCs w:val="21"/>
                <w:lang w:val="en-US" w:eastAsia="zh-CN"/>
              </w:rPr>
              <w:t>2</w:t>
            </w:r>
            <w:r>
              <w:rPr>
                <w:rFonts w:hint="eastAsia"/>
                <w:szCs w:val="21"/>
              </w:rPr>
              <w:t>分、250</w:t>
            </w:r>
            <w:r>
              <w:rPr>
                <w:rFonts w:hint="eastAsia"/>
                <w:szCs w:val="21"/>
                <w:lang w:val="en-US" w:eastAsia="zh-CN"/>
              </w:rPr>
              <w:t>0≤金额≤</w:t>
            </w:r>
            <w:r>
              <w:rPr>
                <w:rFonts w:hint="eastAsia"/>
                <w:szCs w:val="21"/>
              </w:rPr>
              <w:t>3000万</w:t>
            </w:r>
            <w:r>
              <w:rPr>
                <w:rFonts w:hint="eastAsia"/>
                <w:szCs w:val="21"/>
                <w:lang w:val="en-US" w:eastAsia="zh-CN"/>
              </w:rPr>
              <w:t>元</w:t>
            </w:r>
            <w:r>
              <w:rPr>
                <w:rFonts w:hint="eastAsia"/>
                <w:szCs w:val="21"/>
              </w:rPr>
              <w:t>得</w:t>
            </w:r>
            <w:r>
              <w:rPr>
                <w:rFonts w:hint="eastAsia"/>
                <w:szCs w:val="21"/>
                <w:lang w:val="en-US" w:eastAsia="zh-CN"/>
              </w:rPr>
              <w:t>3</w:t>
            </w:r>
            <w:r>
              <w:rPr>
                <w:rFonts w:hint="eastAsia"/>
                <w:szCs w:val="21"/>
              </w:rPr>
              <w:t>分、3000万</w:t>
            </w:r>
            <w:r>
              <w:rPr>
                <w:rFonts w:hint="eastAsia"/>
                <w:szCs w:val="21"/>
                <w:lang w:val="en-US" w:eastAsia="zh-CN"/>
              </w:rPr>
              <w:t>元≤金额≤3500万元</w:t>
            </w:r>
            <w:r>
              <w:rPr>
                <w:rFonts w:hint="eastAsia"/>
                <w:szCs w:val="21"/>
              </w:rPr>
              <w:t>得</w:t>
            </w:r>
            <w:r>
              <w:rPr>
                <w:rFonts w:hint="eastAsia"/>
                <w:szCs w:val="21"/>
                <w:lang w:val="en-US" w:eastAsia="zh-CN"/>
              </w:rPr>
              <w:t>4</w:t>
            </w:r>
            <w:r>
              <w:rPr>
                <w:rFonts w:hint="eastAsia"/>
                <w:szCs w:val="21"/>
              </w:rPr>
              <w:t>分</w:t>
            </w:r>
            <w:r>
              <w:rPr>
                <w:rFonts w:hint="eastAsia"/>
                <w:szCs w:val="21"/>
                <w:lang w:eastAsia="zh-CN"/>
              </w:rPr>
              <w:t>、</w:t>
            </w:r>
            <w:r>
              <w:rPr>
                <w:rFonts w:hint="eastAsia"/>
                <w:szCs w:val="21"/>
                <w:lang w:val="en-US" w:eastAsia="zh-CN"/>
              </w:rPr>
              <w:t>金额＞3500万元得5分</w:t>
            </w:r>
          </w:p>
        </w:tc>
        <w:tc>
          <w:tcPr>
            <w:tcW w:w="992" w:type="dxa"/>
            <w:tcBorders>
              <w:top w:val="single" w:color="auto" w:sz="8" w:space="0"/>
              <w:left w:val="single" w:color="auto" w:sz="8" w:space="0"/>
              <w:bottom w:val="single" w:color="auto" w:sz="8" w:space="0"/>
              <w:right w:val="single" w:color="auto" w:sz="8" w:space="0"/>
            </w:tcBorders>
            <w:vAlign w:val="center"/>
          </w:tcPr>
          <w:p w14:paraId="69713C5F">
            <w:pPr>
              <w:spacing w:before="120" w:beforeLines="50" w:after="120" w:afterLines="50"/>
              <w:jc w:val="center"/>
              <w:rPr>
                <w:rFonts w:hint="default" w:eastAsia="宋体"/>
                <w:szCs w:val="21"/>
                <w:lang w:val="en-US" w:eastAsia="zh-CN"/>
              </w:rPr>
            </w:pPr>
            <w:r>
              <w:rPr>
                <w:rFonts w:hint="eastAsia"/>
                <w:szCs w:val="21"/>
                <w:lang w:val="en-US" w:eastAsia="zh-CN"/>
              </w:rPr>
              <w:t>0-5</w:t>
            </w:r>
          </w:p>
        </w:tc>
      </w:tr>
      <w:tr w14:paraId="4CEED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1240" w:type="dxa"/>
            <w:vMerge w:val="continue"/>
            <w:tcBorders>
              <w:left w:val="single" w:color="auto" w:sz="8" w:space="0"/>
              <w:bottom w:val="single" w:color="auto" w:sz="8" w:space="0"/>
              <w:right w:val="single" w:color="auto" w:sz="8" w:space="0"/>
            </w:tcBorders>
            <w:vAlign w:val="center"/>
          </w:tcPr>
          <w:p w14:paraId="2A2755E5">
            <w:pPr>
              <w:spacing w:before="120" w:beforeLines="50" w:after="120" w:afterLines="50"/>
              <w:jc w:val="center"/>
              <w:rPr>
                <w:szCs w:val="21"/>
              </w:rPr>
            </w:pPr>
          </w:p>
        </w:tc>
        <w:tc>
          <w:tcPr>
            <w:tcW w:w="1246" w:type="dxa"/>
            <w:vMerge w:val="continue"/>
            <w:tcBorders>
              <w:left w:val="single" w:color="auto" w:sz="8" w:space="0"/>
              <w:bottom w:val="single" w:color="auto" w:sz="8" w:space="0"/>
              <w:right w:val="single" w:color="auto" w:sz="8" w:space="0"/>
            </w:tcBorders>
            <w:vAlign w:val="center"/>
          </w:tcPr>
          <w:p w14:paraId="2CCF83A2">
            <w:pPr>
              <w:spacing w:before="120" w:beforeLines="50" w:after="120" w:afterLines="50"/>
              <w:jc w:val="center"/>
              <w:rPr>
                <w:rFonts w:hint="eastAsia"/>
                <w:szCs w:val="21"/>
                <w:lang w:val="en-US" w:eastAsia="zh-CN"/>
              </w:rPr>
            </w:pPr>
          </w:p>
        </w:tc>
        <w:tc>
          <w:tcPr>
            <w:tcW w:w="5277" w:type="dxa"/>
            <w:tcBorders>
              <w:top w:val="single" w:color="auto" w:sz="8" w:space="0"/>
              <w:left w:val="single" w:color="auto" w:sz="8" w:space="0"/>
              <w:bottom w:val="single" w:color="auto" w:sz="8" w:space="0"/>
              <w:right w:val="single" w:color="auto" w:sz="8" w:space="0"/>
            </w:tcBorders>
            <w:vAlign w:val="center"/>
          </w:tcPr>
          <w:p w14:paraId="31A5F8C5">
            <w:pPr>
              <w:keepNext w:val="0"/>
              <w:keepLines w:val="0"/>
              <w:pageBreakBefore w:val="0"/>
              <w:widowControl w:val="0"/>
              <w:kinsoku/>
              <w:wordWrap/>
              <w:overflowPunct/>
              <w:topLinePunct w:val="0"/>
              <w:autoSpaceDE/>
              <w:autoSpaceDN/>
              <w:bidi w:val="0"/>
              <w:adjustRightInd/>
              <w:snapToGrid/>
              <w:jc w:val="both"/>
              <w:textAlignment w:val="auto"/>
              <w:rPr>
                <w:rFonts w:hint="eastAsia"/>
                <w:szCs w:val="21"/>
                <w:lang w:val="en-US" w:eastAsia="zh-CN"/>
              </w:rPr>
            </w:pPr>
            <w:r>
              <w:rPr>
                <w:rFonts w:hint="eastAsia"/>
                <w:szCs w:val="21"/>
              </w:rPr>
              <w:t>根据投标人雇主责任险或团体人身保险投保额度（外币须换算成人民币），100</w:t>
            </w:r>
            <w:r>
              <w:rPr>
                <w:rFonts w:hint="eastAsia"/>
                <w:szCs w:val="21"/>
                <w:lang w:val="en-US" w:eastAsia="zh-CN"/>
              </w:rPr>
              <w:t>万元万元≤金额≤</w:t>
            </w:r>
            <w:r>
              <w:rPr>
                <w:rFonts w:hint="eastAsia"/>
                <w:szCs w:val="21"/>
              </w:rPr>
              <w:t>120万</w:t>
            </w:r>
            <w:r>
              <w:rPr>
                <w:rFonts w:hint="eastAsia"/>
                <w:szCs w:val="21"/>
                <w:lang w:val="en-US" w:eastAsia="zh-CN"/>
              </w:rPr>
              <w:t>元</w:t>
            </w:r>
            <w:r>
              <w:rPr>
                <w:rFonts w:hint="eastAsia"/>
                <w:szCs w:val="21"/>
              </w:rPr>
              <w:t>得1分、12</w:t>
            </w:r>
            <w:r>
              <w:rPr>
                <w:rFonts w:hint="eastAsia"/>
                <w:szCs w:val="21"/>
                <w:lang w:val="en-US" w:eastAsia="zh-CN"/>
              </w:rPr>
              <w:t>0万元≤金额≤</w:t>
            </w:r>
            <w:r>
              <w:rPr>
                <w:rFonts w:hint="eastAsia"/>
                <w:szCs w:val="21"/>
              </w:rPr>
              <w:t>150万</w:t>
            </w:r>
            <w:r>
              <w:rPr>
                <w:rFonts w:hint="eastAsia"/>
                <w:szCs w:val="21"/>
                <w:lang w:val="en-US" w:eastAsia="zh-CN"/>
              </w:rPr>
              <w:t>元</w:t>
            </w:r>
            <w:r>
              <w:rPr>
                <w:rFonts w:hint="eastAsia"/>
                <w:szCs w:val="21"/>
              </w:rPr>
              <w:t>得2分、15</w:t>
            </w:r>
            <w:r>
              <w:rPr>
                <w:rFonts w:hint="eastAsia"/>
                <w:szCs w:val="21"/>
                <w:lang w:val="en-US" w:eastAsia="zh-CN"/>
              </w:rPr>
              <w:t>0万元≤金额≤</w:t>
            </w:r>
            <w:r>
              <w:rPr>
                <w:rFonts w:hint="eastAsia"/>
                <w:szCs w:val="21"/>
              </w:rPr>
              <w:t>170万</w:t>
            </w:r>
            <w:r>
              <w:rPr>
                <w:rFonts w:hint="eastAsia"/>
                <w:szCs w:val="21"/>
                <w:lang w:val="en-US" w:eastAsia="zh-CN"/>
              </w:rPr>
              <w:t>元</w:t>
            </w:r>
            <w:r>
              <w:rPr>
                <w:rFonts w:hint="eastAsia"/>
                <w:szCs w:val="21"/>
              </w:rPr>
              <w:t>得3分、17</w:t>
            </w:r>
            <w:r>
              <w:rPr>
                <w:rFonts w:hint="eastAsia"/>
                <w:szCs w:val="21"/>
                <w:lang w:val="en-US" w:eastAsia="zh-CN"/>
              </w:rPr>
              <w:t>0万元≤金额≤</w:t>
            </w:r>
            <w:r>
              <w:rPr>
                <w:rFonts w:hint="eastAsia"/>
                <w:szCs w:val="21"/>
              </w:rPr>
              <w:t>190万</w:t>
            </w:r>
            <w:r>
              <w:rPr>
                <w:rFonts w:hint="eastAsia"/>
                <w:szCs w:val="21"/>
                <w:lang w:val="en-US" w:eastAsia="zh-CN"/>
              </w:rPr>
              <w:t>元</w:t>
            </w:r>
            <w:r>
              <w:rPr>
                <w:rFonts w:hint="eastAsia"/>
                <w:szCs w:val="21"/>
              </w:rPr>
              <w:t>得4分、</w:t>
            </w:r>
            <w:r>
              <w:rPr>
                <w:rFonts w:hint="eastAsia"/>
                <w:szCs w:val="21"/>
                <w:lang w:val="en-US" w:eastAsia="zh-CN"/>
              </w:rPr>
              <w:t>金额＞</w:t>
            </w:r>
            <w:r>
              <w:rPr>
                <w:rFonts w:hint="eastAsia"/>
                <w:szCs w:val="21"/>
              </w:rPr>
              <w:t>19</w:t>
            </w:r>
            <w:r>
              <w:rPr>
                <w:rFonts w:hint="eastAsia"/>
                <w:szCs w:val="21"/>
                <w:lang w:val="en-US" w:eastAsia="zh-CN"/>
              </w:rPr>
              <w:t>0</w:t>
            </w:r>
            <w:r>
              <w:rPr>
                <w:rFonts w:hint="eastAsia"/>
                <w:szCs w:val="21"/>
              </w:rPr>
              <w:t>万</w:t>
            </w:r>
            <w:r>
              <w:rPr>
                <w:rFonts w:hint="eastAsia"/>
                <w:szCs w:val="21"/>
                <w:lang w:val="en-US" w:eastAsia="zh-CN"/>
              </w:rPr>
              <w:t>元</w:t>
            </w:r>
            <w:r>
              <w:rPr>
                <w:rFonts w:hint="eastAsia"/>
                <w:szCs w:val="21"/>
              </w:rPr>
              <w:t>得5分</w:t>
            </w:r>
          </w:p>
        </w:tc>
        <w:tc>
          <w:tcPr>
            <w:tcW w:w="992" w:type="dxa"/>
            <w:tcBorders>
              <w:top w:val="single" w:color="auto" w:sz="8" w:space="0"/>
              <w:left w:val="single" w:color="auto" w:sz="8" w:space="0"/>
              <w:bottom w:val="single" w:color="auto" w:sz="8" w:space="0"/>
              <w:right w:val="single" w:color="auto" w:sz="8" w:space="0"/>
            </w:tcBorders>
            <w:vAlign w:val="center"/>
          </w:tcPr>
          <w:p w14:paraId="042D96EF">
            <w:pPr>
              <w:spacing w:before="120" w:beforeLines="50" w:after="120" w:afterLines="50"/>
              <w:jc w:val="center"/>
              <w:rPr>
                <w:rFonts w:hint="default"/>
                <w:szCs w:val="21"/>
                <w:lang w:val="en-US" w:eastAsia="zh-CN"/>
              </w:rPr>
            </w:pPr>
            <w:r>
              <w:rPr>
                <w:rFonts w:hint="eastAsia"/>
                <w:szCs w:val="21"/>
                <w:lang w:val="en-US" w:eastAsia="zh-CN"/>
              </w:rPr>
              <w:t>0-5</w:t>
            </w:r>
          </w:p>
        </w:tc>
      </w:tr>
      <w:tr w14:paraId="1A98B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1240" w:type="dxa"/>
            <w:vMerge w:val="restart"/>
            <w:tcBorders>
              <w:top w:val="single" w:color="auto" w:sz="8" w:space="0"/>
              <w:left w:val="single" w:color="auto" w:sz="8" w:space="0"/>
              <w:right w:val="single" w:color="auto" w:sz="8" w:space="0"/>
            </w:tcBorders>
            <w:vAlign w:val="center"/>
          </w:tcPr>
          <w:p w14:paraId="3103BF53">
            <w:pPr>
              <w:spacing w:before="120" w:beforeLines="50" w:after="120" w:afterLines="50"/>
              <w:jc w:val="center"/>
              <w:rPr>
                <w:szCs w:val="21"/>
              </w:rPr>
            </w:pPr>
            <w:r>
              <w:rPr>
                <w:szCs w:val="21"/>
              </w:rPr>
              <w:t>技术部分（</w:t>
            </w:r>
            <w:r>
              <w:rPr>
                <w:rFonts w:hint="eastAsia"/>
                <w:szCs w:val="21"/>
              </w:rPr>
              <w:t>57</w:t>
            </w:r>
            <w:r>
              <w:rPr>
                <w:szCs w:val="21"/>
              </w:rPr>
              <w:t>分）</w:t>
            </w:r>
          </w:p>
        </w:tc>
        <w:tc>
          <w:tcPr>
            <w:tcW w:w="1246" w:type="dxa"/>
            <w:vMerge w:val="restart"/>
            <w:tcBorders>
              <w:top w:val="single" w:color="auto" w:sz="8" w:space="0"/>
              <w:left w:val="single" w:color="auto" w:sz="8" w:space="0"/>
              <w:right w:val="single" w:color="auto" w:sz="8" w:space="0"/>
            </w:tcBorders>
            <w:vAlign w:val="center"/>
          </w:tcPr>
          <w:p w14:paraId="2A716512">
            <w:pPr>
              <w:spacing w:before="120" w:beforeLines="50" w:after="120" w:afterLines="50"/>
              <w:jc w:val="center"/>
              <w:rPr>
                <w:szCs w:val="21"/>
              </w:rPr>
            </w:pPr>
            <w:r>
              <w:rPr>
                <w:szCs w:val="21"/>
              </w:rPr>
              <w:t>项目经理及服务团队</w:t>
            </w:r>
          </w:p>
          <w:p w14:paraId="7D89E71F">
            <w:pPr>
              <w:spacing w:before="120" w:beforeLines="50" w:after="120" w:afterLines="50"/>
              <w:jc w:val="center"/>
              <w:rPr>
                <w:szCs w:val="21"/>
              </w:rPr>
            </w:pPr>
            <w:r>
              <w:rPr>
                <w:rFonts w:hint="eastAsia"/>
                <w:szCs w:val="21"/>
              </w:rPr>
              <w:t>（18分）</w:t>
            </w:r>
          </w:p>
        </w:tc>
        <w:tc>
          <w:tcPr>
            <w:tcW w:w="5277" w:type="dxa"/>
            <w:tcBorders>
              <w:top w:val="single" w:color="auto" w:sz="8" w:space="0"/>
              <w:left w:val="single" w:color="auto" w:sz="8" w:space="0"/>
              <w:bottom w:val="single" w:color="auto" w:sz="8" w:space="0"/>
              <w:right w:val="single" w:color="auto" w:sz="8" w:space="0"/>
            </w:tcBorders>
            <w:vAlign w:val="center"/>
          </w:tcPr>
          <w:p w14:paraId="6212B771">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项目经理：</w:t>
            </w:r>
            <w:r>
              <w:rPr>
                <w:szCs w:val="21"/>
              </w:rPr>
              <w:br w:type="textWrapping"/>
            </w:r>
            <w:r>
              <w:rPr>
                <w:szCs w:val="21"/>
              </w:rPr>
              <w:t>1、具有餐饮业职业经理人资格证书的得1 分;</w:t>
            </w:r>
            <w:r>
              <w:rPr>
                <w:szCs w:val="21"/>
              </w:rPr>
              <w:br w:type="textWrapping"/>
            </w:r>
            <w:r>
              <w:rPr>
                <w:szCs w:val="21"/>
              </w:rPr>
              <w:t>2、具有高级营养师证书的得1 分；</w:t>
            </w:r>
            <w:r>
              <w:rPr>
                <w:szCs w:val="21"/>
              </w:rPr>
              <w:br w:type="textWrapping"/>
            </w:r>
            <w:r>
              <w:rPr>
                <w:szCs w:val="21"/>
              </w:rPr>
              <w:t>3、具有三级及以上中式烹调师证书的得1 分；</w:t>
            </w:r>
            <w:r>
              <w:rPr>
                <w:szCs w:val="21"/>
              </w:rPr>
              <w:br w:type="textWrapping"/>
            </w:r>
            <w:r>
              <w:rPr>
                <w:szCs w:val="21"/>
              </w:rPr>
              <w:t>4、具有三级及以上中式面点烹调师证书的得1分；</w:t>
            </w:r>
            <w:r>
              <w:rPr>
                <w:szCs w:val="21"/>
              </w:rPr>
              <w:br w:type="textWrapping"/>
            </w:r>
            <w:r>
              <w:rPr>
                <w:szCs w:val="21"/>
              </w:rPr>
              <w:t>5、因提供的餐饮服务而获得过国家或餐饮行业协会嘉奖的得</w:t>
            </w:r>
            <w:r>
              <w:rPr>
                <w:rFonts w:hint="eastAsia"/>
                <w:szCs w:val="21"/>
              </w:rPr>
              <w:t>1</w:t>
            </w:r>
            <w:r>
              <w:rPr>
                <w:szCs w:val="21"/>
              </w:rPr>
              <w:t>分；</w:t>
            </w:r>
            <w:r>
              <w:rPr>
                <w:szCs w:val="21"/>
              </w:rPr>
              <w:br w:type="textWrapping"/>
            </w:r>
            <w:r>
              <w:rPr>
                <w:szCs w:val="21"/>
              </w:rPr>
              <w:t>（投标人须提供项目经理的身份证、学历证书、资质证书、获奖证书及开标前12个月内至少连续6个月社保的证明材料，否则该项不得分）；</w:t>
            </w:r>
          </w:p>
        </w:tc>
        <w:tc>
          <w:tcPr>
            <w:tcW w:w="992" w:type="dxa"/>
            <w:tcBorders>
              <w:top w:val="single" w:color="auto" w:sz="8" w:space="0"/>
              <w:left w:val="single" w:color="auto" w:sz="8" w:space="0"/>
              <w:bottom w:val="single" w:color="auto" w:sz="8" w:space="0"/>
              <w:right w:val="single" w:color="auto" w:sz="8" w:space="0"/>
            </w:tcBorders>
            <w:vAlign w:val="center"/>
          </w:tcPr>
          <w:p w14:paraId="35DF2B00">
            <w:pPr>
              <w:spacing w:before="120" w:beforeLines="50" w:after="120" w:afterLines="50"/>
              <w:jc w:val="center"/>
              <w:rPr>
                <w:szCs w:val="21"/>
              </w:rPr>
            </w:pPr>
            <w:r>
              <w:rPr>
                <w:szCs w:val="21"/>
              </w:rPr>
              <w:t>0-</w:t>
            </w:r>
            <w:r>
              <w:rPr>
                <w:rFonts w:hint="eastAsia"/>
                <w:szCs w:val="21"/>
              </w:rPr>
              <w:t>5</w:t>
            </w:r>
          </w:p>
        </w:tc>
      </w:tr>
      <w:tr w14:paraId="3F19D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1240" w:type="dxa"/>
            <w:vMerge w:val="continue"/>
            <w:tcBorders>
              <w:left w:val="single" w:color="auto" w:sz="8" w:space="0"/>
              <w:right w:val="single" w:color="auto" w:sz="8" w:space="0"/>
            </w:tcBorders>
            <w:vAlign w:val="center"/>
          </w:tcPr>
          <w:p w14:paraId="21BD137F">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6F7353D9">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512A48F6">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厨师长：</w:t>
            </w:r>
            <w:r>
              <w:rPr>
                <w:szCs w:val="21"/>
              </w:rPr>
              <w:br w:type="textWrapping"/>
            </w:r>
            <w:r>
              <w:rPr>
                <w:szCs w:val="21"/>
              </w:rPr>
              <w:t>1、具有大型党政机关或企事业单位工作经验年限8年以上（提供甲方出具的工作经验证明）得1分</w:t>
            </w:r>
            <w:r>
              <w:rPr>
                <w:szCs w:val="21"/>
              </w:rPr>
              <w:br w:type="textWrapping"/>
            </w:r>
            <w:r>
              <w:rPr>
                <w:szCs w:val="21"/>
              </w:rPr>
              <w:t>2、持有一级中式烹调师证、高级及以上中式面点师证，药膳师证、团餐项目管理师、营养配餐员、</w:t>
            </w:r>
            <w:r>
              <w:rPr>
                <w:rFonts w:hint="eastAsia"/>
                <w:szCs w:val="21"/>
              </w:rPr>
              <w:t>公共营养师、</w:t>
            </w:r>
            <w:r>
              <w:rPr>
                <w:szCs w:val="21"/>
              </w:rPr>
              <w:t>食品安全员等</w:t>
            </w:r>
            <w:r>
              <w:rPr>
                <w:rFonts w:hint="eastAsia"/>
                <w:szCs w:val="21"/>
              </w:rPr>
              <w:t>相关</w:t>
            </w:r>
            <w:r>
              <w:rPr>
                <w:szCs w:val="21"/>
              </w:rPr>
              <w:t>证书的，以上证书每持有1个得1分。最高得3分。</w:t>
            </w:r>
            <w:r>
              <w:rPr>
                <w:szCs w:val="21"/>
              </w:rPr>
              <w:br w:type="textWrapping"/>
            </w:r>
            <w:r>
              <w:rPr>
                <w:szCs w:val="21"/>
              </w:rPr>
              <w:t>上述资质证书需提供复印件并加盖公章，同时提供开标前12个月内至少连续6个月社保的证明材料，否则不得分。</w:t>
            </w:r>
          </w:p>
        </w:tc>
        <w:tc>
          <w:tcPr>
            <w:tcW w:w="992" w:type="dxa"/>
            <w:tcBorders>
              <w:top w:val="single" w:color="auto" w:sz="8" w:space="0"/>
              <w:left w:val="single" w:color="auto" w:sz="8" w:space="0"/>
              <w:bottom w:val="single" w:color="auto" w:sz="8" w:space="0"/>
              <w:right w:val="single" w:color="auto" w:sz="8" w:space="0"/>
            </w:tcBorders>
            <w:vAlign w:val="center"/>
          </w:tcPr>
          <w:p w14:paraId="0AA9231C">
            <w:pPr>
              <w:spacing w:before="120" w:beforeLines="50" w:after="120" w:afterLines="50"/>
              <w:jc w:val="center"/>
              <w:rPr>
                <w:szCs w:val="21"/>
              </w:rPr>
            </w:pPr>
            <w:r>
              <w:rPr>
                <w:szCs w:val="21"/>
              </w:rPr>
              <w:t>0-4</w:t>
            </w:r>
          </w:p>
        </w:tc>
      </w:tr>
      <w:tr w14:paraId="3C5ED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1240" w:type="dxa"/>
            <w:vMerge w:val="continue"/>
            <w:tcBorders>
              <w:left w:val="single" w:color="auto" w:sz="8" w:space="0"/>
              <w:right w:val="single" w:color="auto" w:sz="8" w:space="0"/>
            </w:tcBorders>
            <w:vAlign w:val="center"/>
          </w:tcPr>
          <w:p w14:paraId="6D154F0E">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2731AE28">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4A7EBC24">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其他人员：</w:t>
            </w:r>
            <w:r>
              <w:rPr>
                <w:szCs w:val="21"/>
              </w:rPr>
              <w:br w:type="textWrapping"/>
            </w:r>
            <w:r>
              <w:rPr>
                <w:szCs w:val="21"/>
              </w:rPr>
              <w:t>1、根据投标人针对本项目服务方案中的服务团队配置及岗位构成合理性打分，优良1-2分；较好0.5-0.9分；一般0.-0.4分，未提供岗位配置表的得0分。</w:t>
            </w:r>
            <w:r>
              <w:rPr>
                <w:szCs w:val="21"/>
              </w:rPr>
              <w:br w:type="textWrapping"/>
            </w:r>
            <w:r>
              <w:rPr>
                <w:szCs w:val="21"/>
              </w:rPr>
              <w:t>2、投标人承诺配备具有国家市场监督总局颁发的食品安全总监的并提供相关证书的得</w:t>
            </w:r>
            <w:r>
              <w:rPr>
                <w:rFonts w:hint="eastAsia"/>
                <w:szCs w:val="21"/>
              </w:rPr>
              <w:t>1</w:t>
            </w:r>
            <w:r>
              <w:rPr>
                <w:szCs w:val="21"/>
              </w:rPr>
              <w:t>分。</w:t>
            </w:r>
            <w:r>
              <w:rPr>
                <w:szCs w:val="21"/>
              </w:rPr>
              <w:br w:type="textWrapping"/>
            </w:r>
            <w:r>
              <w:rPr>
                <w:szCs w:val="21"/>
              </w:rPr>
              <w:t>3、投标人提供的人员中具有高级（国家职业资格一级）中式面点师证书及西式面点师资格证书的得</w:t>
            </w:r>
            <w:r>
              <w:rPr>
                <w:rFonts w:hint="eastAsia"/>
                <w:szCs w:val="21"/>
              </w:rPr>
              <w:t>1</w:t>
            </w:r>
            <w:r>
              <w:rPr>
                <w:szCs w:val="21"/>
              </w:rPr>
              <w:t>分；</w:t>
            </w:r>
            <w:r>
              <w:rPr>
                <w:szCs w:val="21"/>
              </w:rPr>
              <w:br w:type="textWrapping"/>
            </w:r>
            <w:r>
              <w:rPr>
                <w:szCs w:val="21"/>
              </w:rPr>
              <w:t>投标文件中提供上述人员证书扫描件或影印件及http://zscx.osta.org.cn/网站查询截图，同时提供投标人为上述人员缴纳的近半年的社保证明材料，以上人员如未提供证明材料的则不得分。</w:t>
            </w:r>
          </w:p>
        </w:tc>
        <w:tc>
          <w:tcPr>
            <w:tcW w:w="992" w:type="dxa"/>
            <w:tcBorders>
              <w:top w:val="single" w:color="auto" w:sz="8" w:space="0"/>
              <w:left w:val="single" w:color="auto" w:sz="8" w:space="0"/>
              <w:bottom w:val="single" w:color="auto" w:sz="8" w:space="0"/>
              <w:right w:val="single" w:color="auto" w:sz="8" w:space="0"/>
            </w:tcBorders>
            <w:vAlign w:val="center"/>
          </w:tcPr>
          <w:p w14:paraId="2C9FDCCD">
            <w:pPr>
              <w:spacing w:before="120" w:beforeLines="50" w:after="120" w:afterLines="50"/>
              <w:jc w:val="center"/>
              <w:rPr>
                <w:szCs w:val="21"/>
              </w:rPr>
            </w:pPr>
            <w:r>
              <w:rPr>
                <w:szCs w:val="21"/>
              </w:rPr>
              <w:t>0-</w:t>
            </w:r>
            <w:r>
              <w:rPr>
                <w:rFonts w:hint="eastAsia"/>
                <w:szCs w:val="21"/>
              </w:rPr>
              <w:t>4</w:t>
            </w:r>
          </w:p>
        </w:tc>
      </w:tr>
      <w:tr w14:paraId="17CF4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1240" w:type="dxa"/>
            <w:vMerge w:val="continue"/>
            <w:tcBorders>
              <w:left w:val="single" w:color="auto" w:sz="8" w:space="0"/>
              <w:right w:val="single" w:color="auto" w:sz="8" w:space="0"/>
            </w:tcBorders>
            <w:vAlign w:val="center"/>
          </w:tcPr>
          <w:p w14:paraId="6F98F777">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09346013">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4662BEDE">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1、投标人承诺服务团队人员全部持有《餐饮从业人员健康合格证》，得1分，部分持有或无0分。（中标人签订合同时须提供服务团队人员健康合格证）</w:t>
            </w:r>
            <w:r>
              <w:rPr>
                <w:szCs w:val="21"/>
              </w:rPr>
              <w:br w:type="textWrapping"/>
            </w:r>
            <w:r>
              <w:rPr>
                <w:szCs w:val="21"/>
              </w:rPr>
              <w:t>2、拟派的厨师人员中有获得过市级及以上（含国家部委）组织的烹饪比赛奖项的得1分。提供获奖证明材料并加盖公章。</w:t>
            </w:r>
          </w:p>
        </w:tc>
        <w:tc>
          <w:tcPr>
            <w:tcW w:w="992" w:type="dxa"/>
            <w:tcBorders>
              <w:top w:val="single" w:color="auto" w:sz="8" w:space="0"/>
              <w:left w:val="single" w:color="auto" w:sz="8" w:space="0"/>
              <w:bottom w:val="single" w:color="auto" w:sz="8" w:space="0"/>
              <w:right w:val="single" w:color="auto" w:sz="8" w:space="0"/>
            </w:tcBorders>
            <w:vAlign w:val="center"/>
          </w:tcPr>
          <w:p w14:paraId="522D8E8D">
            <w:pPr>
              <w:spacing w:before="120" w:beforeLines="50" w:after="120" w:afterLines="50"/>
              <w:jc w:val="center"/>
              <w:rPr>
                <w:szCs w:val="21"/>
              </w:rPr>
            </w:pPr>
            <w:r>
              <w:rPr>
                <w:szCs w:val="21"/>
              </w:rPr>
              <w:t>0-2</w:t>
            </w:r>
          </w:p>
        </w:tc>
      </w:tr>
      <w:tr w14:paraId="04B04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1240" w:type="dxa"/>
            <w:vMerge w:val="continue"/>
            <w:tcBorders>
              <w:left w:val="single" w:color="auto" w:sz="8" w:space="0"/>
              <w:right w:val="single" w:color="auto" w:sz="8" w:space="0"/>
            </w:tcBorders>
            <w:vAlign w:val="center"/>
          </w:tcPr>
          <w:p w14:paraId="2171E788">
            <w:pPr>
              <w:spacing w:before="120" w:beforeLines="50" w:after="120" w:afterLines="50"/>
              <w:jc w:val="center"/>
              <w:rPr>
                <w:szCs w:val="21"/>
              </w:rPr>
            </w:pPr>
          </w:p>
        </w:tc>
        <w:tc>
          <w:tcPr>
            <w:tcW w:w="1246" w:type="dxa"/>
            <w:vMerge w:val="continue"/>
            <w:tcBorders>
              <w:left w:val="single" w:color="auto" w:sz="8" w:space="0"/>
              <w:bottom w:val="single" w:color="auto" w:sz="8" w:space="0"/>
              <w:right w:val="single" w:color="auto" w:sz="8" w:space="0"/>
            </w:tcBorders>
            <w:vAlign w:val="center"/>
          </w:tcPr>
          <w:p w14:paraId="548ABDDA">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1F131C59">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投标人提交日常运营期间人员招聘计划、人员离职补充方案以及人员稳定方案、员工管理及绩效考核方案</w:t>
            </w:r>
            <w:r>
              <w:rPr>
                <w:szCs w:val="21"/>
              </w:rPr>
              <w:br w:type="textWrapping"/>
            </w:r>
            <w:r>
              <w:rPr>
                <w:szCs w:val="21"/>
              </w:rPr>
              <w:t>方案详细、完全可行且综合风险最小的，得</w:t>
            </w:r>
            <w:r>
              <w:rPr>
                <w:rFonts w:hint="eastAsia"/>
                <w:szCs w:val="21"/>
              </w:rPr>
              <w:t>3</w:t>
            </w:r>
            <w:r>
              <w:rPr>
                <w:szCs w:val="21"/>
              </w:rPr>
              <w:t>分；</w:t>
            </w:r>
            <w:r>
              <w:rPr>
                <w:szCs w:val="21"/>
              </w:rPr>
              <w:br w:type="textWrapping"/>
            </w:r>
            <w:r>
              <w:rPr>
                <w:szCs w:val="21"/>
              </w:rPr>
              <w:t>较为详细、基本可行但存在一定风险的，得</w:t>
            </w:r>
            <w:r>
              <w:rPr>
                <w:rFonts w:hint="eastAsia"/>
                <w:szCs w:val="21"/>
              </w:rPr>
              <w:t>1-2</w:t>
            </w:r>
            <w:r>
              <w:rPr>
                <w:szCs w:val="21"/>
              </w:rPr>
              <w:t>分；</w:t>
            </w:r>
            <w:r>
              <w:rPr>
                <w:szCs w:val="21"/>
              </w:rPr>
              <w:br w:type="textWrapping"/>
            </w:r>
            <w:r>
              <w:rPr>
                <w:szCs w:val="21"/>
              </w:rPr>
              <w:t>方案一般，且综合风险性较大的，计得0-</w:t>
            </w:r>
            <w:r>
              <w:rPr>
                <w:rFonts w:hint="eastAsia"/>
                <w:szCs w:val="21"/>
              </w:rPr>
              <w:t>0.9</w:t>
            </w:r>
            <w:r>
              <w:rPr>
                <w:szCs w:val="21"/>
              </w:rPr>
              <w:t>分；</w:t>
            </w:r>
          </w:p>
        </w:tc>
        <w:tc>
          <w:tcPr>
            <w:tcW w:w="992" w:type="dxa"/>
            <w:tcBorders>
              <w:top w:val="single" w:color="auto" w:sz="8" w:space="0"/>
              <w:left w:val="single" w:color="auto" w:sz="8" w:space="0"/>
              <w:bottom w:val="single" w:color="auto" w:sz="8" w:space="0"/>
              <w:right w:val="single" w:color="auto" w:sz="8" w:space="0"/>
            </w:tcBorders>
            <w:vAlign w:val="center"/>
          </w:tcPr>
          <w:p w14:paraId="2B9D645C">
            <w:pPr>
              <w:spacing w:before="120" w:beforeLines="50" w:after="120" w:afterLines="50"/>
              <w:jc w:val="center"/>
              <w:rPr>
                <w:szCs w:val="21"/>
              </w:rPr>
            </w:pPr>
            <w:r>
              <w:rPr>
                <w:szCs w:val="21"/>
              </w:rPr>
              <w:t>0-</w:t>
            </w:r>
            <w:r>
              <w:rPr>
                <w:rFonts w:hint="eastAsia"/>
                <w:szCs w:val="21"/>
              </w:rPr>
              <w:t>3</w:t>
            </w:r>
          </w:p>
        </w:tc>
      </w:tr>
      <w:tr w14:paraId="74A2D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4F5912CA">
            <w:pPr>
              <w:spacing w:before="120" w:beforeLines="50" w:after="120" w:afterLines="50"/>
              <w:jc w:val="center"/>
              <w:rPr>
                <w:szCs w:val="21"/>
              </w:rPr>
            </w:pPr>
          </w:p>
        </w:tc>
        <w:tc>
          <w:tcPr>
            <w:tcW w:w="1246" w:type="dxa"/>
            <w:vMerge w:val="restart"/>
            <w:tcBorders>
              <w:top w:val="single" w:color="auto" w:sz="8" w:space="0"/>
              <w:left w:val="single" w:color="auto" w:sz="8" w:space="0"/>
              <w:right w:val="single" w:color="auto" w:sz="8" w:space="0"/>
            </w:tcBorders>
            <w:vAlign w:val="center"/>
          </w:tcPr>
          <w:p w14:paraId="41DAB618">
            <w:pPr>
              <w:spacing w:before="120" w:beforeLines="50" w:after="120" w:afterLines="50"/>
              <w:jc w:val="center"/>
              <w:rPr>
                <w:szCs w:val="21"/>
              </w:rPr>
            </w:pPr>
            <w:r>
              <w:rPr>
                <w:szCs w:val="21"/>
              </w:rPr>
              <w:t>餐饮服务方案</w:t>
            </w:r>
          </w:p>
          <w:p w14:paraId="500FC3C2">
            <w:pPr>
              <w:spacing w:before="120" w:beforeLines="50" w:after="120" w:afterLines="50"/>
              <w:jc w:val="center"/>
              <w:rPr>
                <w:szCs w:val="21"/>
              </w:rPr>
            </w:pPr>
            <w:r>
              <w:rPr>
                <w:rFonts w:hint="eastAsia"/>
                <w:szCs w:val="21"/>
              </w:rPr>
              <w:t>（11分）</w:t>
            </w:r>
          </w:p>
        </w:tc>
        <w:tc>
          <w:tcPr>
            <w:tcW w:w="5277" w:type="dxa"/>
            <w:tcBorders>
              <w:top w:val="single" w:color="auto" w:sz="8" w:space="0"/>
              <w:left w:val="single" w:color="auto" w:sz="8" w:space="0"/>
              <w:bottom w:val="single" w:color="auto" w:sz="8" w:space="0"/>
              <w:right w:val="single" w:color="auto" w:sz="8" w:space="0"/>
            </w:tcBorders>
            <w:vAlign w:val="center"/>
          </w:tcPr>
          <w:p w14:paraId="4B3C2CB2">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投标人针对本项目的服务特点、难点分析（</w:t>
            </w:r>
            <w:r>
              <w:rPr>
                <w:rFonts w:hint="eastAsia"/>
                <w:szCs w:val="21"/>
              </w:rPr>
              <w:t>3</w:t>
            </w:r>
            <w:r>
              <w:rPr>
                <w:szCs w:val="21"/>
              </w:rPr>
              <w:t>分）</w:t>
            </w:r>
            <w:r>
              <w:rPr>
                <w:rFonts w:hint="eastAsia"/>
                <w:szCs w:val="21"/>
              </w:rPr>
              <w:t>：</w:t>
            </w:r>
            <w:r>
              <w:rPr>
                <w:szCs w:val="21"/>
              </w:rPr>
              <w:br w:type="textWrapping"/>
            </w:r>
            <w:r>
              <w:rPr>
                <w:szCs w:val="21"/>
              </w:rPr>
              <w:t>服务特点、难点定位准确，分析合理得3分，较好2分，一般1分，较差或无得0分；</w:t>
            </w:r>
          </w:p>
        </w:tc>
        <w:tc>
          <w:tcPr>
            <w:tcW w:w="992" w:type="dxa"/>
            <w:tcBorders>
              <w:top w:val="single" w:color="auto" w:sz="8" w:space="0"/>
              <w:left w:val="single" w:color="auto" w:sz="8" w:space="0"/>
              <w:bottom w:val="single" w:color="auto" w:sz="8" w:space="0"/>
              <w:right w:val="single" w:color="auto" w:sz="8" w:space="0"/>
            </w:tcBorders>
            <w:vAlign w:val="center"/>
          </w:tcPr>
          <w:p w14:paraId="6CBAF25B">
            <w:pPr>
              <w:spacing w:before="120" w:beforeLines="50" w:after="120" w:afterLines="50"/>
              <w:jc w:val="center"/>
              <w:rPr>
                <w:szCs w:val="21"/>
              </w:rPr>
            </w:pPr>
            <w:r>
              <w:rPr>
                <w:szCs w:val="21"/>
              </w:rPr>
              <w:t>0-</w:t>
            </w:r>
            <w:r>
              <w:rPr>
                <w:rFonts w:hint="eastAsia"/>
                <w:szCs w:val="21"/>
              </w:rPr>
              <w:t>3</w:t>
            </w:r>
          </w:p>
        </w:tc>
      </w:tr>
      <w:tr w14:paraId="23EF9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14A32853">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0E8A92A9">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508E0A41">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投标人针对本项目的餐饮全年服务计划安排</w:t>
            </w:r>
            <w:r>
              <w:rPr>
                <w:rFonts w:hint="eastAsia"/>
                <w:szCs w:val="21"/>
              </w:rPr>
              <w:t>：</w:t>
            </w:r>
            <w:r>
              <w:rPr>
                <w:szCs w:val="21"/>
              </w:rPr>
              <w:br w:type="textWrapping"/>
            </w:r>
            <w:r>
              <w:rPr>
                <w:szCs w:val="21"/>
              </w:rPr>
              <w:t>服务计划合理、规划得当的得3分，较好2分，一般1分，较差或无得0分；</w:t>
            </w:r>
          </w:p>
        </w:tc>
        <w:tc>
          <w:tcPr>
            <w:tcW w:w="992" w:type="dxa"/>
            <w:tcBorders>
              <w:top w:val="single" w:color="auto" w:sz="8" w:space="0"/>
              <w:left w:val="single" w:color="auto" w:sz="8" w:space="0"/>
              <w:bottom w:val="single" w:color="auto" w:sz="8" w:space="0"/>
              <w:right w:val="single" w:color="auto" w:sz="8" w:space="0"/>
            </w:tcBorders>
            <w:vAlign w:val="center"/>
          </w:tcPr>
          <w:p w14:paraId="42F275B1">
            <w:pPr>
              <w:spacing w:before="120" w:beforeLines="50" w:after="120" w:afterLines="50"/>
              <w:jc w:val="center"/>
              <w:rPr>
                <w:szCs w:val="21"/>
              </w:rPr>
            </w:pPr>
            <w:r>
              <w:rPr>
                <w:rFonts w:hint="eastAsia"/>
                <w:szCs w:val="21"/>
              </w:rPr>
              <w:t>0-3</w:t>
            </w:r>
          </w:p>
        </w:tc>
      </w:tr>
      <w:tr w14:paraId="6C7E6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0C4B1BBD">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39EE4140">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2E81518E">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依据投标人提供的服务方案进行评分（</w:t>
            </w:r>
            <w:r>
              <w:rPr>
                <w:rFonts w:hint="eastAsia"/>
                <w:szCs w:val="21"/>
              </w:rPr>
              <w:t>3</w:t>
            </w:r>
            <w:r>
              <w:rPr>
                <w:szCs w:val="21"/>
              </w:rPr>
              <w:t>分）：</w:t>
            </w:r>
            <w:r>
              <w:rPr>
                <w:szCs w:val="21"/>
              </w:rPr>
              <w:br w:type="textWrapping"/>
            </w:r>
            <w:r>
              <w:rPr>
                <w:szCs w:val="21"/>
              </w:rPr>
              <w:t>1、员工餐服务方案；</w:t>
            </w:r>
            <w:r>
              <w:rPr>
                <w:szCs w:val="21"/>
              </w:rPr>
              <w:br w:type="textWrapping"/>
            </w:r>
            <w:r>
              <w:rPr>
                <w:szCs w:val="21"/>
              </w:rPr>
              <w:t>方案科学合理、标准明确、操作性强的得</w:t>
            </w:r>
            <w:r>
              <w:rPr>
                <w:rFonts w:hint="eastAsia"/>
                <w:szCs w:val="21"/>
              </w:rPr>
              <w:t>1</w:t>
            </w:r>
            <w:r>
              <w:rPr>
                <w:szCs w:val="21"/>
              </w:rPr>
              <w:t>分，一般0.5分，较差或无得0分；</w:t>
            </w:r>
            <w:r>
              <w:rPr>
                <w:szCs w:val="21"/>
              </w:rPr>
              <w:br w:type="textWrapping"/>
            </w:r>
            <w:r>
              <w:rPr>
                <w:szCs w:val="21"/>
              </w:rPr>
              <w:t>2、客饭及接待餐服务方案；</w:t>
            </w:r>
            <w:r>
              <w:rPr>
                <w:szCs w:val="21"/>
              </w:rPr>
              <w:br w:type="textWrapping"/>
            </w:r>
            <w:r>
              <w:rPr>
                <w:szCs w:val="21"/>
              </w:rPr>
              <w:t>方案科学合理、标准明确、操作性强的得</w:t>
            </w:r>
            <w:r>
              <w:rPr>
                <w:rFonts w:hint="eastAsia"/>
                <w:szCs w:val="21"/>
              </w:rPr>
              <w:t>1</w:t>
            </w:r>
            <w:r>
              <w:rPr>
                <w:szCs w:val="21"/>
              </w:rPr>
              <w:t>分，一般0.5分，较差或无得0分；</w:t>
            </w:r>
            <w:r>
              <w:rPr>
                <w:szCs w:val="21"/>
              </w:rPr>
              <w:br w:type="textWrapping"/>
            </w:r>
            <w:r>
              <w:rPr>
                <w:szCs w:val="21"/>
              </w:rPr>
              <w:t>3、菜单库品类：1000种≤种菜单库品类&lt;2000种得0.5分</w:t>
            </w:r>
            <w:r>
              <w:rPr>
                <w:rFonts w:hint="eastAsia"/>
                <w:szCs w:val="21"/>
              </w:rPr>
              <w:t>，</w:t>
            </w:r>
            <w:r>
              <w:rPr>
                <w:szCs w:val="21"/>
              </w:rPr>
              <w:t>≥2000种的得1分</w:t>
            </w:r>
            <w:r>
              <w:rPr>
                <w:rFonts w:hint="eastAsia"/>
                <w:szCs w:val="21"/>
              </w:rPr>
              <w:t xml:space="preserve"> </w:t>
            </w:r>
          </w:p>
        </w:tc>
        <w:tc>
          <w:tcPr>
            <w:tcW w:w="992" w:type="dxa"/>
            <w:tcBorders>
              <w:top w:val="single" w:color="auto" w:sz="8" w:space="0"/>
              <w:left w:val="single" w:color="auto" w:sz="8" w:space="0"/>
              <w:bottom w:val="single" w:color="auto" w:sz="8" w:space="0"/>
              <w:right w:val="single" w:color="auto" w:sz="8" w:space="0"/>
            </w:tcBorders>
            <w:vAlign w:val="center"/>
          </w:tcPr>
          <w:p w14:paraId="5C003322">
            <w:pPr>
              <w:spacing w:before="120" w:beforeLines="50" w:after="120" w:afterLines="50"/>
              <w:jc w:val="center"/>
              <w:rPr>
                <w:szCs w:val="21"/>
              </w:rPr>
            </w:pPr>
            <w:r>
              <w:rPr>
                <w:rFonts w:hint="eastAsia"/>
                <w:szCs w:val="21"/>
              </w:rPr>
              <w:t>0-3</w:t>
            </w:r>
          </w:p>
        </w:tc>
      </w:tr>
      <w:tr w14:paraId="55402F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7C027FB1">
            <w:pPr>
              <w:spacing w:before="120" w:beforeLines="50" w:after="120" w:afterLines="50"/>
              <w:jc w:val="center"/>
              <w:rPr>
                <w:szCs w:val="21"/>
              </w:rPr>
            </w:pPr>
          </w:p>
        </w:tc>
        <w:tc>
          <w:tcPr>
            <w:tcW w:w="1246" w:type="dxa"/>
            <w:vMerge w:val="continue"/>
            <w:tcBorders>
              <w:left w:val="single" w:color="auto" w:sz="8" w:space="0"/>
              <w:bottom w:val="single" w:color="auto" w:sz="8" w:space="0"/>
              <w:right w:val="single" w:color="auto" w:sz="8" w:space="0"/>
            </w:tcBorders>
            <w:vAlign w:val="center"/>
          </w:tcPr>
          <w:p w14:paraId="3D4A6DD9">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59469CBA">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根据采购人的食堂规模和实际需要提供的餐饮管理服务制度进行评分。至少包括工作流程、人员管理、菜品营养健康搭配、设施设备管理等由评标委员会根据上述情况进行综合评分，</w:t>
            </w:r>
            <w:r>
              <w:rPr>
                <w:szCs w:val="21"/>
              </w:rPr>
              <w:br w:type="textWrapping"/>
            </w:r>
            <w:r>
              <w:rPr>
                <w:szCs w:val="21"/>
              </w:rPr>
              <w:t>优得</w:t>
            </w:r>
            <w:r>
              <w:rPr>
                <w:rFonts w:hint="eastAsia"/>
                <w:szCs w:val="21"/>
              </w:rPr>
              <w:t>2</w:t>
            </w:r>
            <w:r>
              <w:rPr>
                <w:szCs w:val="21"/>
              </w:rPr>
              <w:t xml:space="preserve">分，良得 </w:t>
            </w:r>
            <w:r>
              <w:rPr>
                <w:rFonts w:hint="eastAsia"/>
                <w:szCs w:val="21"/>
              </w:rPr>
              <w:t>1</w:t>
            </w:r>
            <w:r>
              <w:rPr>
                <w:szCs w:val="21"/>
              </w:rPr>
              <w:t>分，一般得 0分。未提供不得分。</w:t>
            </w:r>
          </w:p>
        </w:tc>
        <w:tc>
          <w:tcPr>
            <w:tcW w:w="992" w:type="dxa"/>
            <w:tcBorders>
              <w:top w:val="single" w:color="auto" w:sz="8" w:space="0"/>
              <w:left w:val="single" w:color="auto" w:sz="8" w:space="0"/>
              <w:bottom w:val="single" w:color="auto" w:sz="8" w:space="0"/>
              <w:right w:val="single" w:color="auto" w:sz="8" w:space="0"/>
            </w:tcBorders>
            <w:vAlign w:val="center"/>
          </w:tcPr>
          <w:p w14:paraId="72B247F3">
            <w:pPr>
              <w:spacing w:before="120" w:beforeLines="50" w:after="120" w:afterLines="50"/>
              <w:jc w:val="center"/>
              <w:rPr>
                <w:szCs w:val="21"/>
              </w:rPr>
            </w:pPr>
            <w:r>
              <w:rPr>
                <w:rFonts w:hint="eastAsia"/>
                <w:szCs w:val="21"/>
              </w:rPr>
              <w:t>0-2</w:t>
            </w:r>
          </w:p>
        </w:tc>
      </w:tr>
      <w:tr w14:paraId="5B2BE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27341E61">
            <w:pPr>
              <w:spacing w:before="120" w:beforeLines="50" w:after="120" w:afterLines="50"/>
              <w:jc w:val="center"/>
              <w:rPr>
                <w:szCs w:val="21"/>
              </w:rPr>
            </w:pPr>
          </w:p>
        </w:tc>
        <w:tc>
          <w:tcPr>
            <w:tcW w:w="1246" w:type="dxa"/>
            <w:vMerge w:val="restart"/>
            <w:tcBorders>
              <w:top w:val="single" w:color="auto" w:sz="8" w:space="0"/>
              <w:left w:val="single" w:color="auto" w:sz="8" w:space="0"/>
              <w:right w:val="single" w:color="auto" w:sz="8" w:space="0"/>
            </w:tcBorders>
            <w:vAlign w:val="center"/>
          </w:tcPr>
          <w:p w14:paraId="74C8B1D6">
            <w:pPr>
              <w:spacing w:before="120" w:beforeLines="50" w:after="120" w:afterLines="50"/>
              <w:jc w:val="center"/>
              <w:rPr>
                <w:szCs w:val="21"/>
              </w:rPr>
            </w:pPr>
            <w:r>
              <w:rPr>
                <w:szCs w:val="21"/>
              </w:rPr>
              <w:t>服务能力与管理制度</w:t>
            </w:r>
          </w:p>
          <w:p w14:paraId="0AADF81F">
            <w:pPr>
              <w:pStyle w:val="8"/>
              <w:ind w:firstLine="32"/>
              <w:jc w:val="center"/>
              <w:rPr>
                <w:rFonts w:ascii="Times New Roman" w:hAnsi="Times New Roman"/>
                <w:szCs w:val="21"/>
              </w:rPr>
            </w:pPr>
            <w:r>
              <w:rPr>
                <w:rFonts w:hint="eastAsia" w:ascii="Times New Roman" w:hAnsi="Times New Roman"/>
                <w:szCs w:val="21"/>
              </w:rPr>
              <w:t>（8分）</w:t>
            </w:r>
          </w:p>
        </w:tc>
        <w:tc>
          <w:tcPr>
            <w:tcW w:w="5277" w:type="dxa"/>
            <w:tcBorders>
              <w:top w:val="single" w:color="auto" w:sz="8" w:space="0"/>
              <w:left w:val="single" w:color="auto" w:sz="8" w:space="0"/>
              <w:bottom w:val="single" w:color="auto" w:sz="8" w:space="0"/>
              <w:right w:val="single" w:color="auto" w:sz="8" w:space="0"/>
            </w:tcBorders>
            <w:vAlign w:val="center"/>
          </w:tcPr>
          <w:p w14:paraId="4FA1F5DB">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根据投标人是否具有独立检测化验能力、是否具有良好的设备维护方案、是否建立完善的投诉处理方案等综合情况打分。优良2分；较好1分；一般0-0.5分。</w:t>
            </w:r>
          </w:p>
        </w:tc>
        <w:tc>
          <w:tcPr>
            <w:tcW w:w="992" w:type="dxa"/>
            <w:tcBorders>
              <w:top w:val="single" w:color="auto" w:sz="8" w:space="0"/>
              <w:left w:val="single" w:color="auto" w:sz="8" w:space="0"/>
              <w:bottom w:val="single" w:color="auto" w:sz="8" w:space="0"/>
              <w:right w:val="single" w:color="auto" w:sz="8" w:space="0"/>
            </w:tcBorders>
            <w:vAlign w:val="center"/>
          </w:tcPr>
          <w:p w14:paraId="052F9979">
            <w:pPr>
              <w:spacing w:before="120" w:beforeLines="50" w:after="120" w:afterLines="50"/>
              <w:jc w:val="center"/>
              <w:rPr>
                <w:szCs w:val="21"/>
              </w:rPr>
            </w:pPr>
            <w:r>
              <w:rPr>
                <w:rFonts w:hint="eastAsia"/>
                <w:szCs w:val="21"/>
              </w:rPr>
              <w:t>0-2</w:t>
            </w:r>
          </w:p>
        </w:tc>
      </w:tr>
      <w:tr w14:paraId="44B6D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2B329C50">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33FD1037">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49054166">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投标人提供的餐标控制及原材料控制方案：</w:t>
            </w:r>
            <w:r>
              <w:rPr>
                <w:szCs w:val="21"/>
              </w:rPr>
              <w:br w:type="textWrapping"/>
            </w:r>
            <w:r>
              <w:rPr>
                <w:szCs w:val="21"/>
              </w:rPr>
              <w:t>方案全面、合理、适用性强的，得3分；</w:t>
            </w:r>
            <w:r>
              <w:rPr>
                <w:szCs w:val="21"/>
              </w:rPr>
              <w:br w:type="textWrapping"/>
            </w:r>
            <w:r>
              <w:rPr>
                <w:szCs w:val="21"/>
              </w:rPr>
              <w:t>方案满足基本要求的，得1-2分；</w:t>
            </w:r>
            <w:r>
              <w:rPr>
                <w:szCs w:val="21"/>
              </w:rPr>
              <w:br w:type="textWrapping"/>
            </w:r>
            <w:r>
              <w:rPr>
                <w:szCs w:val="21"/>
              </w:rPr>
              <w:t>方案不全面或未提供的得0-0.5分。</w:t>
            </w:r>
          </w:p>
        </w:tc>
        <w:tc>
          <w:tcPr>
            <w:tcW w:w="992" w:type="dxa"/>
            <w:tcBorders>
              <w:top w:val="single" w:color="auto" w:sz="8" w:space="0"/>
              <w:left w:val="single" w:color="auto" w:sz="8" w:space="0"/>
              <w:bottom w:val="single" w:color="auto" w:sz="8" w:space="0"/>
              <w:right w:val="single" w:color="auto" w:sz="8" w:space="0"/>
            </w:tcBorders>
            <w:vAlign w:val="center"/>
          </w:tcPr>
          <w:p w14:paraId="50C076D8">
            <w:pPr>
              <w:spacing w:before="120" w:beforeLines="50" w:after="120" w:afterLines="50"/>
              <w:jc w:val="center"/>
              <w:rPr>
                <w:szCs w:val="21"/>
              </w:rPr>
            </w:pPr>
            <w:r>
              <w:rPr>
                <w:rFonts w:hint="eastAsia"/>
                <w:szCs w:val="21"/>
              </w:rPr>
              <w:t>0-3</w:t>
            </w:r>
          </w:p>
        </w:tc>
      </w:tr>
      <w:tr w14:paraId="03951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51A7321B">
            <w:pPr>
              <w:spacing w:before="120" w:beforeLines="50" w:after="120" w:afterLines="50"/>
              <w:jc w:val="center"/>
              <w:rPr>
                <w:szCs w:val="21"/>
              </w:rPr>
            </w:pPr>
          </w:p>
        </w:tc>
        <w:tc>
          <w:tcPr>
            <w:tcW w:w="1246" w:type="dxa"/>
            <w:vMerge w:val="continue"/>
            <w:tcBorders>
              <w:left w:val="single" w:color="auto" w:sz="8" w:space="0"/>
              <w:bottom w:val="single" w:color="auto" w:sz="8" w:space="0"/>
              <w:right w:val="single" w:color="auto" w:sz="8" w:space="0"/>
            </w:tcBorders>
            <w:vAlign w:val="center"/>
          </w:tcPr>
          <w:p w14:paraId="2799788F">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33930A46">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投标人提供的食品储存、加工与供应方案：</w:t>
            </w:r>
            <w:r>
              <w:rPr>
                <w:szCs w:val="21"/>
              </w:rPr>
              <w:br w:type="textWrapping"/>
            </w:r>
            <w:r>
              <w:rPr>
                <w:szCs w:val="21"/>
              </w:rPr>
              <w:t>方案全面、合理、适用性强的得3分；</w:t>
            </w:r>
            <w:r>
              <w:rPr>
                <w:szCs w:val="21"/>
              </w:rPr>
              <w:br w:type="textWrapping"/>
            </w:r>
            <w:r>
              <w:rPr>
                <w:szCs w:val="21"/>
              </w:rPr>
              <w:t>方案满足基本要求的得1-2分；</w:t>
            </w:r>
            <w:r>
              <w:rPr>
                <w:szCs w:val="21"/>
              </w:rPr>
              <w:br w:type="textWrapping"/>
            </w:r>
            <w:r>
              <w:rPr>
                <w:szCs w:val="21"/>
              </w:rPr>
              <w:t>方案不全面或未提供的得0-0.5分。</w:t>
            </w:r>
          </w:p>
        </w:tc>
        <w:tc>
          <w:tcPr>
            <w:tcW w:w="992" w:type="dxa"/>
            <w:tcBorders>
              <w:top w:val="single" w:color="auto" w:sz="8" w:space="0"/>
              <w:left w:val="single" w:color="auto" w:sz="8" w:space="0"/>
              <w:bottom w:val="single" w:color="auto" w:sz="8" w:space="0"/>
              <w:right w:val="single" w:color="auto" w:sz="8" w:space="0"/>
            </w:tcBorders>
            <w:vAlign w:val="center"/>
          </w:tcPr>
          <w:p w14:paraId="013B2DB1">
            <w:pPr>
              <w:spacing w:before="120" w:beforeLines="50" w:after="120" w:afterLines="50"/>
              <w:jc w:val="center"/>
              <w:rPr>
                <w:szCs w:val="21"/>
              </w:rPr>
            </w:pPr>
            <w:r>
              <w:rPr>
                <w:rFonts w:hint="eastAsia"/>
                <w:szCs w:val="21"/>
              </w:rPr>
              <w:t>0-3</w:t>
            </w:r>
          </w:p>
        </w:tc>
      </w:tr>
      <w:tr w14:paraId="6D83B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6DFEECCF">
            <w:pPr>
              <w:spacing w:before="120" w:beforeLines="50" w:after="120" w:afterLines="50"/>
              <w:jc w:val="center"/>
              <w:rPr>
                <w:szCs w:val="21"/>
              </w:rPr>
            </w:pPr>
          </w:p>
        </w:tc>
        <w:tc>
          <w:tcPr>
            <w:tcW w:w="1246" w:type="dxa"/>
            <w:vMerge w:val="restart"/>
            <w:tcBorders>
              <w:top w:val="single" w:color="auto" w:sz="8" w:space="0"/>
              <w:left w:val="single" w:color="auto" w:sz="8" w:space="0"/>
              <w:right w:val="single" w:color="auto" w:sz="8" w:space="0"/>
            </w:tcBorders>
            <w:vAlign w:val="center"/>
          </w:tcPr>
          <w:p w14:paraId="403D4360">
            <w:pPr>
              <w:spacing w:before="120" w:beforeLines="50" w:after="120" w:afterLines="50"/>
              <w:jc w:val="center"/>
              <w:rPr>
                <w:szCs w:val="21"/>
              </w:rPr>
            </w:pPr>
            <w:r>
              <w:rPr>
                <w:szCs w:val="21"/>
              </w:rPr>
              <w:t>食材采购及原料安全</w:t>
            </w:r>
          </w:p>
          <w:p w14:paraId="7A5193DB">
            <w:pPr>
              <w:pStyle w:val="8"/>
              <w:ind w:firstLine="32"/>
              <w:jc w:val="center"/>
            </w:pPr>
            <w:r>
              <w:rPr>
                <w:rFonts w:hint="eastAsia"/>
              </w:rPr>
              <w:t>（</w:t>
            </w:r>
            <w:r>
              <w:rPr>
                <w:rFonts w:hint="eastAsia" w:ascii="Times New Roman" w:hAnsi="Times New Roman" w:eastAsia="宋体" w:cs="Times New Roman"/>
                <w:kern w:val="2"/>
                <w:sz w:val="21"/>
                <w:szCs w:val="24"/>
                <w:lang w:val="en-US" w:eastAsia="zh-CN" w:bidi="ar-SA"/>
              </w:rPr>
              <w:t>10</w:t>
            </w:r>
            <w:r>
              <w:rPr>
                <w:rFonts w:hint="eastAsia"/>
              </w:rPr>
              <w:t>分）</w:t>
            </w:r>
          </w:p>
        </w:tc>
        <w:tc>
          <w:tcPr>
            <w:tcW w:w="5277" w:type="dxa"/>
            <w:tcBorders>
              <w:top w:val="single" w:color="auto" w:sz="8" w:space="0"/>
              <w:left w:val="single" w:color="auto" w:sz="8" w:space="0"/>
              <w:bottom w:val="single" w:color="auto" w:sz="8" w:space="0"/>
              <w:right w:val="single" w:color="auto" w:sz="8" w:space="0"/>
            </w:tcBorders>
            <w:vAlign w:val="center"/>
          </w:tcPr>
          <w:p w14:paraId="44792BC8">
            <w:pPr>
              <w:keepNext w:val="0"/>
              <w:keepLines w:val="0"/>
              <w:pageBreakBefore w:val="0"/>
              <w:widowControl w:val="0"/>
              <w:kinsoku/>
              <w:wordWrap/>
              <w:overflowPunct/>
              <w:topLinePunct w:val="0"/>
              <w:autoSpaceDE/>
              <w:autoSpaceDN/>
              <w:bidi w:val="0"/>
              <w:adjustRightInd/>
              <w:snapToGrid/>
              <w:jc w:val="both"/>
              <w:textAlignment w:val="auto"/>
              <w:rPr>
                <w:szCs w:val="21"/>
              </w:rPr>
            </w:pPr>
            <w:r>
              <w:rPr>
                <w:rFonts w:hint="eastAsia"/>
                <w:szCs w:val="21"/>
              </w:rPr>
              <w:t>1、</w:t>
            </w:r>
            <w:r>
              <w:rPr>
                <w:szCs w:val="21"/>
              </w:rPr>
              <w:t>投标人具有自有的物流配送机构</w:t>
            </w:r>
            <w:r>
              <w:rPr>
                <w:rFonts w:hint="eastAsia"/>
                <w:szCs w:val="21"/>
                <w:lang w:val="en-US" w:eastAsia="zh-CN"/>
              </w:rPr>
              <w:t>或与食品配送专业物流机构合作的</w:t>
            </w:r>
            <w:r>
              <w:rPr>
                <w:szCs w:val="21"/>
              </w:rPr>
              <w:t>，可以做到</w:t>
            </w:r>
            <w:r>
              <w:rPr>
                <w:rFonts w:hint="eastAsia"/>
                <w:szCs w:val="21"/>
                <w:lang w:val="en-US" w:eastAsia="zh-CN"/>
              </w:rPr>
              <w:t>采购溯源</w:t>
            </w:r>
            <w:r>
              <w:rPr>
                <w:szCs w:val="21"/>
              </w:rPr>
              <w:t>的，得2分，须提供自有的物流配送机构</w:t>
            </w:r>
            <w:r>
              <w:rPr>
                <w:rFonts w:hint="eastAsia"/>
                <w:szCs w:val="21"/>
                <w:lang w:val="en-US" w:eastAsia="zh-CN"/>
              </w:rPr>
              <w:t>或合作的食品配送专业物流机构</w:t>
            </w:r>
            <w:r>
              <w:rPr>
                <w:szCs w:val="21"/>
              </w:rPr>
              <w:t>资质和场地证明等资料</w:t>
            </w:r>
            <w:r>
              <w:rPr>
                <w:rFonts w:hint="eastAsia"/>
                <w:szCs w:val="21"/>
                <w:lang w:eastAsia="zh-CN"/>
              </w:rPr>
              <w:t>（</w:t>
            </w:r>
            <w:r>
              <w:rPr>
                <w:rFonts w:hint="eastAsia"/>
                <w:szCs w:val="21"/>
                <w:lang w:val="en-US" w:eastAsia="zh-CN"/>
              </w:rPr>
              <w:t>合作机构需提供合作协议</w:t>
            </w:r>
            <w:r>
              <w:rPr>
                <w:rFonts w:hint="eastAsia"/>
                <w:szCs w:val="21"/>
                <w:lang w:eastAsia="zh-CN"/>
              </w:rPr>
              <w:t>）</w:t>
            </w:r>
            <w:r>
              <w:rPr>
                <w:szCs w:val="21"/>
              </w:rPr>
              <w:t>，未提供得0分。</w:t>
            </w:r>
            <w:r>
              <w:rPr>
                <w:szCs w:val="21"/>
              </w:rPr>
              <w:br w:type="textWrapping"/>
            </w:r>
            <w:r>
              <w:rPr>
                <w:szCs w:val="21"/>
              </w:rPr>
              <w:t>2、投标人拟投入本项目的车辆需符合配送卫生要求（带有独立密封不锈钢货箱，且具备冷藏功能），每台1分，满分3分，不符合条件的车辆不得分。</w:t>
            </w:r>
          </w:p>
          <w:p w14:paraId="216C302F">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【须提供</w:t>
            </w:r>
            <w:r>
              <w:rPr>
                <w:rFonts w:hint="eastAsia" w:ascii="宋体" w:hAnsi="宋体" w:cs="宋体"/>
                <w:szCs w:val="21"/>
              </w:rPr>
              <w:t>①</w:t>
            </w:r>
            <w:r>
              <w:rPr>
                <w:szCs w:val="21"/>
              </w:rPr>
              <w:t>拟投入本项目的车辆清单</w:t>
            </w:r>
            <w:r>
              <w:rPr>
                <w:rFonts w:hint="eastAsia" w:ascii="宋体" w:hAnsi="宋体" w:cs="宋体"/>
                <w:szCs w:val="21"/>
              </w:rPr>
              <w:t>②</w:t>
            </w:r>
            <w:r>
              <w:rPr>
                <w:szCs w:val="21"/>
              </w:rPr>
              <w:t>相应车辆的《机动车登记证书》或《机动车行驶证》（所有人为投标人/法定代表人/被授权人）扫描件。如相应车辆的所有人非投标人/法定代表人/被授权人，需提供对应车辆的租赁证明扫描件。】</w:t>
            </w:r>
            <w:r>
              <w:rPr>
                <w:szCs w:val="21"/>
              </w:rPr>
              <w:br w:type="textWrapping"/>
            </w:r>
            <w:r>
              <w:rPr>
                <w:szCs w:val="21"/>
              </w:rPr>
              <w:t>3、投标人与厂家或基地签订战略采购合同，可以有效控制食材采购来源及成本。每提供一份战略采购合同（ 如米、面、油、肉、菜等主要食材）得1分，本项最多得2分。</w:t>
            </w:r>
          </w:p>
        </w:tc>
        <w:tc>
          <w:tcPr>
            <w:tcW w:w="992" w:type="dxa"/>
            <w:tcBorders>
              <w:top w:val="single" w:color="auto" w:sz="8" w:space="0"/>
              <w:left w:val="single" w:color="auto" w:sz="8" w:space="0"/>
              <w:bottom w:val="single" w:color="auto" w:sz="8" w:space="0"/>
              <w:right w:val="single" w:color="auto" w:sz="8" w:space="0"/>
            </w:tcBorders>
            <w:vAlign w:val="center"/>
          </w:tcPr>
          <w:p w14:paraId="5905EE29">
            <w:pPr>
              <w:spacing w:before="120" w:beforeLines="50" w:after="120" w:afterLines="50"/>
              <w:jc w:val="center"/>
              <w:rPr>
                <w:szCs w:val="21"/>
              </w:rPr>
            </w:pPr>
            <w:r>
              <w:rPr>
                <w:rFonts w:hint="eastAsia"/>
                <w:szCs w:val="21"/>
              </w:rPr>
              <w:t>0-7</w:t>
            </w:r>
          </w:p>
        </w:tc>
      </w:tr>
      <w:tr w14:paraId="577A9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48C1E66D">
            <w:pPr>
              <w:spacing w:before="120" w:beforeLines="50" w:after="120" w:afterLines="50"/>
              <w:jc w:val="center"/>
              <w:rPr>
                <w:szCs w:val="21"/>
              </w:rPr>
            </w:pPr>
          </w:p>
        </w:tc>
        <w:tc>
          <w:tcPr>
            <w:tcW w:w="1246" w:type="dxa"/>
            <w:vMerge w:val="continue"/>
            <w:tcBorders>
              <w:left w:val="single" w:color="auto" w:sz="8" w:space="0"/>
              <w:right w:val="single" w:color="auto" w:sz="8" w:space="0"/>
            </w:tcBorders>
            <w:vAlign w:val="center"/>
          </w:tcPr>
          <w:p w14:paraId="75FEE667">
            <w:pPr>
              <w:spacing w:before="120" w:beforeLines="50" w:after="120" w:afterLines="50"/>
              <w:jc w:val="center"/>
              <w:rPr>
                <w:szCs w:val="21"/>
              </w:rPr>
            </w:pPr>
          </w:p>
        </w:tc>
        <w:tc>
          <w:tcPr>
            <w:tcW w:w="5277" w:type="dxa"/>
            <w:tcBorders>
              <w:top w:val="single" w:color="auto" w:sz="8" w:space="0"/>
              <w:left w:val="single" w:color="auto" w:sz="8" w:space="0"/>
              <w:bottom w:val="single" w:color="auto" w:sz="8" w:space="0"/>
              <w:right w:val="single" w:color="auto" w:sz="8" w:space="0"/>
            </w:tcBorders>
            <w:vAlign w:val="center"/>
          </w:tcPr>
          <w:p w14:paraId="2602322D">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根据投标人提供的近半年（自20</w:t>
            </w:r>
            <w:r>
              <w:rPr>
                <w:rFonts w:hint="eastAsia"/>
                <w:szCs w:val="21"/>
              </w:rPr>
              <w:t>24</w:t>
            </w:r>
            <w:r>
              <w:rPr>
                <w:szCs w:val="21"/>
              </w:rPr>
              <w:t>年</w:t>
            </w:r>
            <w:r>
              <w:rPr>
                <w:rFonts w:hint="eastAsia"/>
                <w:szCs w:val="21"/>
                <w:lang w:val="en-US" w:eastAsia="zh-CN"/>
              </w:rPr>
              <w:t>7</w:t>
            </w:r>
            <w:r>
              <w:rPr>
                <w:szCs w:val="21"/>
              </w:rPr>
              <w:t>月起至今，以供应商原材料送检日期为准）主要原材料（蔬菜、鲜禽类、鲜肉类、水产、大米、食用油等）共计6项，每提供1个月的6项检测报告的得0.5分；提供经国家职能部门检测机构出具的检测报告（须含有CMA标识）并且检测结果符合食品安全国家标准，每月不满6项不得分，本项满分为3分。</w:t>
            </w:r>
            <w:r>
              <w:rPr>
                <w:szCs w:val="21"/>
              </w:rPr>
              <w:br w:type="textWrapping"/>
            </w:r>
            <w:r>
              <w:rPr>
                <w:szCs w:val="21"/>
              </w:rPr>
              <w:t>注：须提供国家职能部门出具的检测报告（须含有CMA标识）复印件加盖供应商公章。每月一类多次检测的不累计计分。每月每项只需要提供一份报告。</w:t>
            </w:r>
          </w:p>
        </w:tc>
        <w:tc>
          <w:tcPr>
            <w:tcW w:w="992" w:type="dxa"/>
            <w:tcBorders>
              <w:top w:val="single" w:color="auto" w:sz="8" w:space="0"/>
              <w:left w:val="single" w:color="auto" w:sz="8" w:space="0"/>
              <w:bottom w:val="single" w:color="auto" w:sz="8" w:space="0"/>
              <w:right w:val="single" w:color="auto" w:sz="8" w:space="0"/>
            </w:tcBorders>
            <w:vAlign w:val="center"/>
          </w:tcPr>
          <w:p w14:paraId="00AF0BED">
            <w:pPr>
              <w:spacing w:before="120" w:beforeLines="50" w:after="120" w:afterLines="50"/>
              <w:jc w:val="center"/>
              <w:rPr>
                <w:szCs w:val="21"/>
              </w:rPr>
            </w:pPr>
            <w:r>
              <w:rPr>
                <w:rFonts w:hint="eastAsia"/>
                <w:szCs w:val="21"/>
              </w:rPr>
              <w:t>0-3</w:t>
            </w:r>
          </w:p>
        </w:tc>
      </w:tr>
      <w:tr w14:paraId="053BF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50E52ACE">
            <w:pPr>
              <w:spacing w:before="120" w:beforeLines="50" w:after="120" w:afterLines="50"/>
              <w:jc w:val="center"/>
              <w:rPr>
                <w:szCs w:val="21"/>
              </w:rPr>
            </w:pPr>
          </w:p>
        </w:tc>
        <w:tc>
          <w:tcPr>
            <w:tcW w:w="1246" w:type="dxa"/>
            <w:tcBorders>
              <w:top w:val="single" w:color="auto" w:sz="8" w:space="0"/>
              <w:left w:val="single" w:color="auto" w:sz="8" w:space="0"/>
              <w:bottom w:val="single" w:color="auto" w:sz="8" w:space="0"/>
              <w:right w:val="single" w:color="auto" w:sz="8" w:space="0"/>
            </w:tcBorders>
            <w:vAlign w:val="center"/>
          </w:tcPr>
          <w:p w14:paraId="7DD56DEB">
            <w:pPr>
              <w:spacing w:before="120" w:beforeLines="50" w:after="120" w:afterLines="50"/>
              <w:jc w:val="center"/>
              <w:rPr>
                <w:szCs w:val="21"/>
              </w:rPr>
            </w:pPr>
            <w:r>
              <w:rPr>
                <w:szCs w:val="21"/>
              </w:rPr>
              <w:t>服务质量</w:t>
            </w:r>
          </w:p>
          <w:p w14:paraId="00CB780D">
            <w:pPr>
              <w:spacing w:before="120" w:beforeLines="50" w:after="120" w:afterLines="50"/>
              <w:jc w:val="center"/>
            </w:pPr>
            <w:r>
              <w:rPr>
                <w:rFonts w:hint="eastAsia"/>
              </w:rPr>
              <w:t>（2分）</w:t>
            </w:r>
          </w:p>
        </w:tc>
        <w:tc>
          <w:tcPr>
            <w:tcW w:w="5277" w:type="dxa"/>
            <w:tcBorders>
              <w:top w:val="single" w:color="auto" w:sz="8" w:space="0"/>
              <w:left w:val="single" w:color="auto" w:sz="8" w:space="0"/>
              <w:bottom w:val="single" w:color="auto" w:sz="8" w:space="0"/>
              <w:right w:val="single" w:color="auto" w:sz="8" w:space="0"/>
            </w:tcBorders>
            <w:vAlign w:val="center"/>
          </w:tcPr>
          <w:p w14:paraId="68873E03">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依据投标人提供的餐饮服务质量管理方案进行评分（</w:t>
            </w:r>
            <w:r>
              <w:rPr>
                <w:rFonts w:hint="eastAsia"/>
                <w:szCs w:val="21"/>
              </w:rPr>
              <w:t>2</w:t>
            </w:r>
            <w:r>
              <w:rPr>
                <w:szCs w:val="21"/>
              </w:rPr>
              <w:t>分）：</w:t>
            </w:r>
            <w:r>
              <w:rPr>
                <w:szCs w:val="21"/>
              </w:rPr>
              <w:br w:type="textWrapping"/>
            </w:r>
            <w:r>
              <w:rPr>
                <w:szCs w:val="21"/>
              </w:rPr>
              <w:t>投标人提供的方案全面、合理、适用性强</w:t>
            </w:r>
            <w:r>
              <w:rPr>
                <w:rFonts w:hint="eastAsia"/>
                <w:szCs w:val="21"/>
              </w:rPr>
              <w:t>2</w:t>
            </w:r>
            <w:r>
              <w:rPr>
                <w:szCs w:val="21"/>
              </w:rPr>
              <w:t>分；</w:t>
            </w:r>
            <w:r>
              <w:rPr>
                <w:szCs w:val="21"/>
              </w:rPr>
              <w:br w:type="textWrapping"/>
            </w:r>
            <w:r>
              <w:rPr>
                <w:szCs w:val="21"/>
              </w:rPr>
              <w:t>投标人提供的方案满足基本要求</w:t>
            </w:r>
            <w:r>
              <w:rPr>
                <w:rFonts w:hint="eastAsia"/>
                <w:szCs w:val="21"/>
              </w:rPr>
              <w:t>1</w:t>
            </w:r>
            <w:r>
              <w:rPr>
                <w:szCs w:val="21"/>
              </w:rPr>
              <w:t>分；</w:t>
            </w:r>
            <w:r>
              <w:rPr>
                <w:szCs w:val="21"/>
              </w:rPr>
              <w:br w:type="textWrapping"/>
            </w:r>
            <w:r>
              <w:rPr>
                <w:szCs w:val="21"/>
              </w:rPr>
              <w:t>投标人提供的方案不全面或未提供的得0分。</w:t>
            </w:r>
          </w:p>
        </w:tc>
        <w:tc>
          <w:tcPr>
            <w:tcW w:w="992" w:type="dxa"/>
            <w:tcBorders>
              <w:top w:val="single" w:color="auto" w:sz="8" w:space="0"/>
              <w:left w:val="single" w:color="auto" w:sz="8" w:space="0"/>
              <w:bottom w:val="single" w:color="auto" w:sz="8" w:space="0"/>
              <w:right w:val="single" w:color="auto" w:sz="8" w:space="0"/>
            </w:tcBorders>
            <w:vAlign w:val="center"/>
          </w:tcPr>
          <w:p w14:paraId="18BA764B">
            <w:pPr>
              <w:spacing w:before="120" w:beforeLines="50" w:after="120" w:afterLines="50"/>
              <w:jc w:val="center"/>
              <w:rPr>
                <w:szCs w:val="21"/>
              </w:rPr>
            </w:pPr>
            <w:r>
              <w:rPr>
                <w:rFonts w:hint="eastAsia"/>
                <w:szCs w:val="21"/>
              </w:rPr>
              <w:t>0-2</w:t>
            </w:r>
          </w:p>
        </w:tc>
      </w:tr>
      <w:tr w14:paraId="531E6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0964FA7C">
            <w:pPr>
              <w:spacing w:before="120" w:beforeLines="50" w:after="120" w:afterLines="50"/>
              <w:jc w:val="center"/>
              <w:rPr>
                <w:szCs w:val="21"/>
              </w:rPr>
            </w:pPr>
          </w:p>
        </w:tc>
        <w:tc>
          <w:tcPr>
            <w:tcW w:w="1246" w:type="dxa"/>
            <w:tcBorders>
              <w:top w:val="single" w:color="auto" w:sz="8" w:space="0"/>
              <w:left w:val="single" w:color="auto" w:sz="8" w:space="0"/>
              <w:right w:val="single" w:color="auto" w:sz="8" w:space="0"/>
            </w:tcBorders>
            <w:vAlign w:val="center"/>
          </w:tcPr>
          <w:p w14:paraId="777452AA">
            <w:pPr>
              <w:spacing w:before="120" w:beforeLines="50" w:after="120" w:afterLines="50"/>
              <w:jc w:val="center"/>
              <w:rPr>
                <w:szCs w:val="21"/>
              </w:rPr>
            </w:pPr>
            <w:r>
              <w:rPr>
                <w:szCs w:val="21"/>
              </w:rPr>
              <w:t>食品卫生管</w:t>
            </w:r>
          </w:p>
          <w:p w14:paraId="169C9BCD">
            <w:pPr>
              <w:spacing w:before="120" w:beforeLines="50" w:after="120" w:afterLines="50"/>
              <w:jc w:val="center"/>
              <w:rPr>
                <w:szCs w:val="21"/>
              </w:rPr>
            </w:pPr>
            <w:r>
              <w:rPr>
                <w:rFonts w:hint="eastAsia"/>
                <w:szCs w:val="21"/>
              </w:rPr>
              <w:t>（</w:t>
            </w:r>
            <w:r>
              <w:rPr>
                <w:rFonts w:hint="eastAsia"/>
                <w:szCs w:val="21"/>
                <w:lang w:val="en-US" w:eastAsia="zh-CN"/>
              </w:rPr>
              <w:t>2</w:t>
            </w:r>
            <w:r>
              <w:rPr>
                <w:rFonts w:hint="eastAsia"/>
                <w:szCs w:val="21"/>
              </w:rPr>
              <w:t>分）</w:t>
            </w:r>
          </w:p>
        </w:tc>
        <w:tc>
          <w:tcPr>
            <w:tcW w:w="5277" w:type="dxa"/>
            <w:tcBorders>
              <w:top w:val="single" w:color="auto" w:sz="8" w:space="0"/>
              <w:left w:val="single" w:color="auto" w:sz="8" w:space="0"/>
              <w:bottom w:val="single" w:color="auto" w:sz="8" w:space="0"/>
              <w:right w:val="single" w:color="auto" w:sz="8" w:space="0"/>
            </w:tcBorders>
            <w:vAlign w:val="center"/>
          </w:tcPr>
          <w:p w14:paraId="1B03E43A">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餐饮卫生安全和食品安全的保障措施，根据依据投标人提供的方案综合评议：</w:t>
            </w:r>
            <w:r>
              <w:rPr>
                <w:szCs w:val="21"/>
              </w:rPr>
              <w:br w:type="textWrapping"/>
            </w:r>
            <w:r>
              <w:rPr>
                <w:szCs w:val="21"/>
              </w:rPr>
              <w:t>方案全面、合理、适用性强2分；</w:t>
            </w:r>
            <w:r>
              <w:rPr>
                <w:szCs w:val="21"/>
              </w:rPr>
              <w:br w:type="textWrapping"/>
            </w:r>
            <w:r>
              <w:rPr>
                <w:szCs w:val="21"/>
              </w:rPr>
              <w:t>方案满足基本要求1分；</w:t>
            </w:r>
            <w:r>
              <w:rPr>
                <w:szCs w:val="21"/>
              </w:rPr>
              <w:br w:type="textWrapping"/>
            </w:r>
            <w:r>
              <w:rPr>
                <w:szCs w:val="21"/>
              </w:rPr>
              <w:t>方案不全面或未提供0-0.5分。</w:t>
            </w:r>
          </w:p>
        </w:tc>
        <w:tc>
          <w:tcPr>
            <w:tcW w:w="992" w:type="dxa"/>
            <w:tcBorders>
              <w:top w:val="single" w:color="auto" w:sz="8" w:space="0"/>
              <w:left w:val="single" w:color="auto" w:sz="8" w:space="0"/>
              <w:bottom w:val="single" w:color="auto" w:sz="8" w:space="0"/>
              <w:right w:val="single" w:color="auto" w:sz="8" w:space="0"/>
            </w:tcBorders>
            <w:vAlign w:val="center"/>
          </w:tcPr>
          <w:p w14:paraId="02352BB6">
            <w:pPr>
              <w:spacing w:before="120" w:beforeLines="50" w:after="120" w:afterLines="50"/>
              <w:jc w:val="center"/>
              <w:rPr>
                <w:szCs w:val="21"/>
              </w:rPr>
            </w:pPr>
            <w:r>
              <w:rPr>
                <w:rFonts w:hint="eastAsia"/>
                <w:szCs w:val="21"/>
              </w:rPr>
              <w:t>0-</w:t>
            </w:r>
            <w:r>
              <w:rPr>
                <w:szCs w:val="21"/>
              </w:rPr>
              <w:t>2</w:t>
            </w:r>
          </w:p>
        </w:tc>
      </w:tr>
      <w:tr w14:paraId="6C1A9D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0DEC41B9">
            <w:pPr>
              <w:spacing w:before="120" w:beforeLines="50" w:after="120" w:afterLines="50"/>
              <w:jc w:val="center"/>
              <w:rPr>
                <w:szCs w:val="21"/>
              </w:rPr>
            </w:pPr>
          </w:p>
        </w:tc>
        <w:tc>
          <w:tcPr>
            <w:tcW w:w="1246" w:type="dxa"/>
            <w:tcBorders>
              <w:top w:val="single" w:color="auto" w:sz="8" w:space="0"/>
              <w:left w:val="single" w:color="auto" w:sz="8" w:space="0"/>
              <w:bottom w:val="single" w:color="auto" w:sz="8" w:space="0"/>
              <w:right w:val="single" w:color="auto" w:sz="8" w:space="0"/>
            </w:tcBorders>
            <w:vAlign w:val="center"/>
          </w:tcPr>
          <w:p w14:paraId="62C6B716">
            <w:pPr>
              <w:spacing w:before="120" w:beforeLines="50" w:after="120" w:afterLines="50"/>
              <w:jc w:val="center"/>
              <w:rPr>
                <w:szCs w:val="21"/>
              </w:rPr>
            </w:pPr>
            <w:r>
              <w:rPr>
                <w:szCs w:val="21"/>
              </w:rPr>
              <w:t>应急预案</w:t>
            </w:r>
          </w:p>
          <w:p w14:paraId="21FFDE83">
            <w:pPr>
              <w:spacing w:before="120" w:beforeLines="50" w:after="120" w:afterLines="50"/>
              <w:jc w:val="center"/>
              <w:rPr>
                <w:szCs w:val="21"/>
              </w:rPr>
            </w:pPr>
            <w:r>
              <w:rPr>
                <w:rFonts w:hint="eastAsia"/>
                <w:szCs w:val="21"/>
              </w:rPr>
              <w:t>（3分）</w:t>
            </w:r>
          </w:p>
        </w:tc>
        <w:tc>
          <w:tcPr>
            <w:tcW w:w="5277" w:type="dxa"/>
            <w:tcBorders>
              <w:top w:val="single" w:color="auto" w:sz="8" w:space="0"/>
              <w:left w:val="single" w:color="auto" w:sz="8" w:space="0"/>
              <w:bottom w:val="single" w:color="auto" w:sz="8" w:space="0"/>
              <w:right w:val="single" w:color="auto" w:sz="8" w:space="0"/>
            </w:tcBorders>
            <w:vAlign w:val="center"/>
          </w:tcPr>
          <w:p w14:paraId="74871B53">
            <w:pPr>
              <w:keepNext w:val="0"/>
              <w:keepLines w:val="0"/>
              <w:pageBreakBefore w:val="0"/>
              <w:widowControl w:val="0"/>
              <w:kinsoku/>
              <w:wordWrap/>
              <w:overflowPunct/>
              <w:topLinePunct w:val="0"/>
              <w:autoSpaceDE/>
              <w:autoSpaceDN/>
              <w:bidi w:val="0"/>
              <w:adjustRightInd/>
              <w:snapToGrid/>
              <w:jc w:val="both"/>
              <w:textAlignment w:val="auto"/>
              <w:rPr>
                <w:szCs w:val="21"/>
              </w:rPr>
            </w:pPr>
            <w:r>
              <w:rPr>
                <w:szCs w:val="21"/>
              </w:rPr>
              <w:t>依据投标人提供的应急预案进行评分（3分）：</w:t>
            </w:r>
            <w:r>
              <w:rPr>
                <w:szCs w:val="21"/>
              </w:rPr>
              <w:br w:type="textWrapping"/>
            </w:r>
            <w:r>
              <w:rPr>
                <w:szCs w:val="21"/>
              </w:rPr>
              <w:t>食品安全事故应急预案，健全且可操作性强的，得3分；</w:t>
            </w:r>
            <w:r>
              <w:rPr>
                <w:szCs w:val="21"/>
              </w:rPr>
              <w:br w:type="textWrapping"/>
            </w:r>
            <w:r>
              <w:rPr>
                <w:szCs w:val="21"/>
              </w:rPr>
              <w:t>应急预案不健全或可操作性一般的，得1-2分；</w:t>
            </w:r>
            <w:r>
              <w:rPr>
                <w:szCs w:val="21"/>
              </w:rPr>
              <w:br w:type="textWrapping"/>
            </w:r>
            <w:r>
              <w:rPr>
                <w:szCs w:val="21"/>
              </w:rPr>
              <w:t>依据投标人未提供应急预案或所提供的应急预案完全不具备可操作性的不得分。</w:t>
            </w:r>
          </w:p>
        </w:tc>
        <w:tc>
          <w:tcPr>
            <w:tcW w:w="992" w:type="dxa"/>
            <w:tcBorders>
              <w:top w:val="single" w:color="auto" w:sz="8" w:space="0"/>
              <w:left w:val="single" w:color="auto" w:sz="8" w:space="0"/>
              <w:bottom w:val="single" w:color="auto" w:sz="8" w:space="0"/>
              <w:right w:val="single" w:color="auto" w:sz="8" w:space="0"/>
            </w:tcBorders>
            <w:vAlign w:val="center"/>
          </w:tcPr>
          <w:p w14:paraId="2E9A2846">
            <w:pPr>
              <w:spacing w:before="120" w:beforeLines="50" w:after="120" w:afterLines="50"/>
              <w:jc w:val="center"/>
              <w:rPr>
                <w:szCs w:val="21"/>
              </w:rPr>
            </w:pPr>
            <w:r>
              <w:rPr>
                <w:szCs w:val="21"/>
              </w:rPr>
              <w:t>0-3</w:t>
            </w:r>
          </w:p>
        </w:tc>
      </w:tr>
      <w:tr w14:paraId="36E4C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40" w:type="dxa"/>
            <w:vMerge w:val="continue"/>
            <w:tcBorders>
              <w:left w:val="single" w:color="auto" w:sz="8" w:space="0"/>
              <w:right w:val="single" w:color="auto" w:sz="8" w:space="0"/>
            </w:tcBorders>
            <w:vAlign w:val="center"/>
          </w:tcPr>
          <w:p w14:paraId="7F89066B">
            <w:pPr>
              <w:spacing w:before="120" w:beforeLines="50" w:after="120" w:afterLines="50"/>
              <w:jc w:val="center"/>
              <w:rPr>
                <w:szCs w:val="21"/>
              </w:rPr>
            </w:pPr>
          </w:p>
        </w:tc>
        <w:tc>
          <w:tcPr>
            <w:tcW w:w="1246" w:type="dxa"/>
            <w:tcBorders>
              <w:top w:val="single" w:color="auto" w:sz="8" w:space="0"/>
              <w:left w:val="single" w:color="auto" w:sz="8" w:space="0"/>
              <w:bottom w:val="single" w:color="auto" w:sz="8" w:space="0"/>
              <w:right w:val="single" w:color="auto" w:sz="8" w:space="0"/>
            </w:tcBorders>
            <w:vAlign w:val="center"/>
          </w:tcPr>
          <w:p w14:paraId="4CF611AB">
            <w:pPr>
              <w:spacing w:before="120" w:beforeLines="50" w:after="120" w:afterLines="50"/>
              <w:jc w:val="center"/>
              <w:rPr>
                <w:rFonts w:hint="eastAsia"/>
                <w:szCs w:val="21"/>
                <w:lang w:val="en-US" w:eastAsia="zh-CN"/>
              </w:rPr>
            </w:pPr>
            <w:r>
              <w:rPr>
                <w:rFonts w:hint="eastAsia"/>
                <w:szCs w:val="21"/>
                <w:lang w:val="en-US" w:eastAsia="zh-CN"/>
              </w:rPr>
              <w:t>现场述标</w:t>
            </w:r>
          </w:p>
          <w:p w14:paraId="3F4012FD">
            <w:pPr>
              <w:spacing w:before="120" w:beforeLines="50" w:after="120" w:afterLines="50"/>
              <w:jc w:val="center"/>
              <w:rPr>
                <w:rFonts w:hint="eastAsia"/>
                <w:szCs w:val="21"/>
                <w:lang w:val="en-US" w:eastAsia="zh-CN"/>
              </w:rPr>
            </w:pPr>
            <w:r>
              <w:rPr>
                <w:rFonts w:hint="eastAsia"/>
                <w:szCs w:val="21"/>
                <w:lang w:val="en-US" w:eastAsia="zh-CN"/>
              </w:rPr>
              <w:t>（3分）</w:t>
            </w:r>
          </w:p>
        </w:tc>
        <w:tc>
          <w:tcPr>
            <w:tcW w:w="5277" w:type="dxa"/>
            <w:tcBorders>
              <w:top w:val="single" w:color="auto" w:sz="8" w:space="0"/>
              <w:left w:val="single" w:color="auto" w:sz="8" w:space="0"/>
              <w:bottom w:val="single" w:color="auto" w:sz="8" w:space="0"/>
              <w:right w:val="single" w:color="auto" w:sz="8" w:space="0"/>
            </w:tcBorders>
            <w:shd w:val="clear" w:color="auto" w:fill="auto"/>
            <w:vAlign w:val="center"/>
          </w:tcPr>
          <w:p w14:paraId="408CB0A3">
            <w:pPr>
              <w:keepNext w:val="0"/>
              <w:keepLines w:val="0"/>
              <w:pageBreakBefore w:val="0"/>
              <w:widowControl w:val="0"/>
              <w:kinsoku/>
              <w:wordWrap/>
              <w:overflowPunct/>
              <w:topLinePunct w:val="0"/>
              <w:autoSpaceDE/>
              <w:autoSpaceDN/>
              <w:bidi w:val="0"/>
              <w:adjustRightInd/>
              <w:snapToGrid/>
              <w:jc w:val="both"/>
              <w:textAlignment w:val="auto"/>
              <w:rPr>
                <w:szCs w:val="21"/>
              </w:rPr>
            </w:pPr>
            <w:r>
              <w:rPr>
                <w:rFonts w:hint="eastAsia"/>
                <w:szCs w:val="21"/>
              </w:rPr>
              <w:t>方案陈述和答疑清晰，重点突出</w:t>
            </w:r>
          </w:p>
          <w:p w14:paraId="4152F1F0">
            <w:pPr>
              <w:keepNext w:val="0"/>
              <w:keepLines w:val="0"/>
              <w:pageBreakBefore w:val="0"/>
              <w:widowControl w:val="0"/>
              <w:kinsoku/>
              <w:wordWrap/>
              <w:overflowPunct/>
              <w:topLinePunct w:val="0"/>
              <w:autoSpaceDE/>
              <w:autoSpaceDN/>
              <w:bidi w:val="0"/>
              <w:adjustRightInd/>
              <w:snapToGrid/>
              <w:jc w:val="both"/>
              <w:textAlignment w:val="auto"/>
              <w:rPr>
                <w:szCs w:val="21"/>
                <w:lang w:val="en-US" w:eastAsia="zh-CN"/>
              </w:rPr>
            </w:pPr>
            <w:r>
              <w:rPr>
                <w:szCs w:val="21"/>
              </w:rPr>
              <w:t>好：</w:t>
            </w:r>
            <w:r>
              <w:rPr>
                <w:rFonts w:hint="eastAsia"/>
                <w:szCs w:val="21"/>
                <w:lang w:val="en-US" w:eastAsia="zh-CN"/>
              </w:rPr>
              <w:t>2-3</w:t>
            </w:r>
            <w:r>
              <w:rPr>
                <w:szCs w:val="21"/>
              </w:rPr>
              <w:t>分；</w:t>
            </w:r>
            <w:r>
              <w:rPr>
                <w:rFonts w:hint="eastAsia"/>
                <w:szCs w:val="21"/>
              </w:rPr>
              <w:t>一般</w:t>
            </w:r>
            <w:r>
              <w:rPr>
                <w:szCs w:val="21"/>
              </w:rPr>
              <w:t>：</w:t>
            </w:r>
            <w:r>
              <w:rPr>
                <w:rFonts w:hint="eastAsia"/>
                <w:szCs w:val="21"/>
                <w:lang w:val="en-US" w:eastAsia="zh-CN"/>
              </w:rPr>
              <w:t>1-2</w:t>
            </w:r>
            <w:r>
              <w:rPr>
                <w:szCs w:val="21"/>
              </w:rPr>
              <w:t>分；差：0</w:t>
            </w:r>
            <w:r>
              <w:rPr>
                <w:rFonts w:hint="eastAsia"/>
                <w:szCs w:val="21"/>
                <w:lang w:val="en-US" w:eastAsia="zh-CN"/>
              </w:rPr>
              <w:t>-1</w:t>
            </w:r>
            <w:r>
              <w:rPr>
                <w:szCs w:val="21"/>
              </w:rPr>
              <w:t>分</w:t>
            </w:r>
          </w:p>
        </w:tc>
        <w:tc>
          <w:tcPr>
            <w:tcW w:w="992" w:type="dxa"/>
            <w:tcBorders>
              <w:top w:val="single" w:color="auto" w:sz="8" w:space="0"/>
              <w:left w:val="single" w:color="auto" w:sz="8" w:space="0"/>
              <w:bottom w:val="single" w:color="auto" w:sz="8" w:space="0"/>
              <w:right w:val="single" w:color="auto" w:sz="8" w:space="0"/>
            </w:tcBorders>
            <w:vAlign w:val="center"/>
          </w:tcPr>
          <w:p w14:paraId="21B91B3D">
            <w:pPr>
              <w:spacing w:before="120" w:beforeLines="50" w:after="120" w:afterLines="50"/>
              <w:jc w:val="center"/>
              <w:rPr>
                <w:rFonts w:hint="default" w:eastAsia="宋体"/>
                <w:szCs w:val="21"/>
                <w:lang w:val="en-US" w:eastAsia="zh-CN"/>
              </w:rPr>
            </w:pPr>
            <w:r>
              <w:rPr>
                <w:rFonts w:hint="eastAsia"/>
                <w:szCs w:val="21"/>
                <w:lang w:val="en-US" w:eastAsia="zh-CN"/>
              </w:rPr>
              <w:t>0-3</w:t>
            </w:r>
          </w:p>
        </w:tc>
      </w:tr>
    </w:tbl>
    <w:p w14:paraId="27A5E3EA">
      <w:pPr>
        <w:rPr>
          <w:color w:val="000000"/>
        </w:rPr>
      </w:pPr>
    </w:p>
    <w:p w14:paraId="29ECE791">
      <w:pPr>
        <w:rPr>
          <w:color w:val="000000"/>
        </w:rPr>
      </w:pPr>
    </w:p>
    <w:p w14:paraId="2F22E5E9">
      <w:pPr>
        <w:rPr>
          <w:color w:val="000000"/>
        </w:rPr>
      </w:pPr>
    </w:p>
    <w:p w14:paraId="6D5631E3">
      <w:pPr>
        <w:rPr>
          <w:color w:val="000000"/>
        </w:rPr>
        <w:sectPr>
          <w:pgSz w:w="11906" w:h="16838"/>
          <w:pgMar w:top="1440" w:right="1080" w:bottom="1440" w:left="1080" w:header="851" w:footer="992" w:gutter="0"/>
          <w:cols w:space="720" w:num="1"/>
          <w:docGrid w:linePitch="286" w:charSpace="0"/>
        </w:sectPr>
      </w:pPr>
    </w:p>
    <w:p w14:paraId="0F842E14">
      <w:pPr>
        <w:pStyle w:val="2"/>
        <w:rPr>
          <w:b w:val="0"/>
          <w:bCs w:val="0"/>
          <w:color w:val="000000"/>
        </w:rPr>
      </w:pPr>
      <w:bookmarkStart w:id="24" w:name="_Toc6367"/>
      <w:r>
        <w:rPr>
          <w:rFonts w:hint="eastAsia"/>
          <w:b w:val="0"/>
          <w:bCs w:val="0"/>
          <w:color w:val="000000"/>
        </w:rPr>
        <w:t>第四部分</w:t>
      </w:r>
      <w:r>
        <w:rPr>
          <w:b w:val="0"/>
          <w:bCs w:val="0"/>
          <w:color w:val="000000"/>
        </w:rPr>
        <w:t xml:space="preserve"> </w:t>
      </w:r>
      <w:r>
        <w:rPr>
          <w:rFonts w:hint="eastAsia"/>
          <w:b w:val="0"/>
          <w:bCs w:val="0"/>
          <w:color w:val="000000"/>
        </w:rPr>
        <w:t>技术要求和服务要求</w:t>
      </w:r>
      <w:bookmarkEnd w:id="24"/>
    </w:p>
    <w:p w14:paraId="2C54263C">
      <w:pPr>
        <w:pStyle w:val="3"/>
        <w:rPr>
          <w:rFonts w:hint="eastAsia" w:ascii="黑体" w:hAnsi="黑体"/>
          <w:bCs/>
        </w:rPr>
      </w:pPr>
      <w:bookmarkStart w:id="25" w:name="_Toc10098"/>
      <w:bookmarkStart w:id="26" w:name="_Toc18679"/>
      <w:bookmarkStart w:id="27" w:name="_Toc403483365"/>
      <w:r>
        <w:rPr>
          <w:rFonts w:hint="eastAsia" w:ascii="黑体" w:hAnsi="黑体"/>
          <w:bCs/>
        </w:rPr>
        <w:t>4.1 招标货物或服务需求清单</w:t>
      </w:r>
      <w:bookmarkEnd w:id="25"/>
      <w:bookmarkEnd w:id="26"/>
    </w:p>
    <w:p w14:paraId="269D4D4B">
      <w:pPr>
        <w:pStyle w:val="76"/>
        <w:adjustRightInd w:val="0"/>
        <w:ind w:firstLine="422"/>
        <w:rPr>
          <w:rFonts w:hint="eastAsia" w:ascii="宋体" w:hAnsi="宋体" w:eastAsia="宋体" w:cs="宋体"/>
          <w:b/>
          <w:bCs/>
          <w:sz w:val="21"/>
          <w:szCs w:val="21"/>
        </w:rPr>
      </w:pPr>
      <w:r>
        <w:rPr>
          <w:rFonts w:ascii="宋体" w:hAnsi="宋体" w:eastAsia="宋体" w:cs="宋体"/>
          <w:b/>
          <w:bCs/>
          <w:sz w:val="21"/>
          <w:szCs w:val="21"/>
        </w:rPr>
        <w:t>一、</w:t>
      </w:r>
      <w:bookmarkEnd w:id="27"/>
      <w:r>
        <w:rPr>
          <w:rFonts w:ascii="宋体" w:hAnsi="宋体" w:eastAsia="宋体" w:cs="宋体"/>
          <w:b/>
          <w:bCs/>
          <w:sz w:val="21"/>
          <w:szCs w:val="21"/>
        </w:rPr>
        <w:t>项目背景</w:t>
      </w:r>
    </w:p>
    <w:p w14:paraId="4F6DF467">
      <w:pPr>
        <w:adjustRightInd w:val="0"/>
        <w:spacing w:line="360" w:lineRule="auto"/>
        <w:ind w:firstLine="420" w:firstLineChars="200"/>
        <w:rPr>
          <w:rFonts w:hint="eastAsia" w:ascii="宋体" w:hAnsi="宋体" w:cs="宋体"/>
          <w:szCs w:val="21"/>
        </w:rPr>
      </w:pPr>
      <w:bookmarkStart w:id="28" w:name="_Hlk117851322"/>
      <w:r>
        <w:rPr>
          <w:rFonts w:hint="eastAsia" w:ascii="宋体" w:hAnsi="宋体" w:cs="宋体"/>
          <w:szCs w:val="21"/>
          <w:lang w:bidi="ar"/>
        </w:rPr>
        <w:t>本项目需求书是中国</w:t>
      </w:r>
      <w:r>
        <w:rPr>
          <w:rFonts w:hint="eastAsia" w:ascii="宋体" w:hAnsi="宋体" w:cs="宋体"/>
          <w:szCs w:val="21"/>
          <w:lang w:val="en-US" w:eastAsia="zh-CN" w:bidi="ar"/>
        </w:rPr>
        <w:t>机械科学研究总院集团有限公司</w:t>
      </w:r>
      <w:r>
        <w:rPr>
          <w:rFonts w:hint="eastAsia" w:ascii="宋体" w:hAnsi="宋体" w:cs="宋体"/>
          <w:szCs w:val="21"/>
          <w:lang w:bidi="ar"/>
        </w:rPr>
        <w:t>（以下简称“中国</w:t>
      </w:r>
      <w:r>
        <w:rPr>
          <w:rFonts w:hint="eastAsia" w:ascii="宋体" w:hAnsi="宋体" w:cs="宋体"/>
          <w:szCs w:val="21"/>
          <w:lang w:val="en-US" w:eastAsia="zh-CN" w:bidi="ar"/>
        </w:rPr>
        <w:t>机械总院</w:t>
      </w:r>
      <w:r>
        <w:rPr>
          <w:rFonts w:hint="eastAsia" w:ascii="宋体" w:hAnsi="宋体" w:cs="宋体"/>
          <w:szCs w:val="21"/>
          <w:lang w:bidi="ar"/>
        </w:rPr>
        <w:t>”或“招标人”）就中国</w:t>
      </w:r>
      <w:r>
        <w:rPr>
          <w:rFonts w:hint="eastAsia" w:ascii="宋体" w:hAnsi="宋体" w:cs="宋体"/>
          <w:szCs w:val="21"/>
          <w:lang w:val="en-US" w:eastAsia="zh-CN" w:bidi="ar"/>
        </w:rPr>
        <w:t>机械科学研究总院集团有限公司</w:t>
      </w:r>
      <w:r>
        <w:rPr>
          <w:rFonts w:hint="eastAsia" w:ascii="宋体" w:hAnsi="宋体" w:cs="宋体"/>
          <w:bCs/>
          <w:szCs w:val="21"/>
          <w:lang w:bidi="ar"/>
        </w:rPr>
        <w:t>关于选聘</w:t>
      </w:r>
      <w:r>
        <w:rPr>
          <w:rFonts w:hint="eastAsia" w:ascii="宋体" w:hAnsi="宋体" w:cs="宋体"/>
          <w:bCs/>
          <w:szCs w:val="21"/>
          <w:lang w:val="en-US" w:eastAsia="zh-CN" w:bidi="ar"/>
        </w:rPr>
        <w:t>集团公司</w:t>
      </w:r>
      <w:r>
        <w:rPr>
          <w:rFonts w:hint="eastAsia" w:ascii="宋体" w:hAnsi="宋体" w:cs="宋体"/>
          <w:bCs/>
          <w:szCs w:val="21"/>
          <w:lang w:bidi="ar"/>
        </w:rPr>
        <w:t>餐饮服务商采购项目</w:t>
      </w:r>
      <w:r>
        <w:rPr>
          <w:rFonts w:hint="eastAsia" w:ascii="宋体" w:hAnsi="宋体" w:cs="宋体"/>
          <w:szCs w:val="21"/>
          <w:lang w:bidi="ar"/>
        </w:rPr>
        <w:t>提出的采购服务要求，作为中标服务商制定本项目投标文件及后续合同签订的依据之一。</w:t>
      </w:r>
    </w:p>
    <w:bookmarkEnd w:id="28"/>
    <w:p w14:paraId="0084BC45">
      <w:pPr>
        <w:pStyle w:val="76"/>
        <w:adjustRightInd w:val="0"/>
        <w:ind w:firstLine="422"/>
        <w:rPr>
          <w:rFonts w:hint="eastAsia" w:ascii="宋体" w:hAnsi="宋体" w:eastAsia="宋体" w:cs="宋体"/>
          <w:b/>
          <w:bCs/>
          <w:sz w:val="21"/>
          <w:szCs w:val="21"/>
        </w:rPr>
      </w:pPr>
      <w:r>
        <w:rPr>
          <w:rFonts w:ascii="宋体" w:hAnsi="宋体" w:eastAsia="宋体" w:cs="宋体"/>
          <w:b/>
          <w:bCs/>
          <w:sz w:val="21"/>
          <w:szCs w:val="21"/>
        </w:rPr>
        <w:t>二、采购内容</w:t>
      </w:r>
    </w:p>
    <w:p w14:paraId="7B0A2F02">
      <w:pPr>
        <w:pStyle w:val="11"/>
        <w:widowControl/>
        <w:adjustRightInd w:val="0"/>
        <w:spacing w:line="360" w:lineRule="auto"/>
        <w:ind w:firstLine="422" w:firstLineChars="200"/>
        <w:rPr>
          <w:rFonts w:hint="eastAsia" w:ascii="宋体" w:hAnsi="宋体" w:cs="宋体"/>
          <w:b/>
          <w:bCs/>
          <w:color w:val="auto"/>
          <w:szCs w:val="21"/>
        </w:rPr>
      </w:pPr>
      <w:bookmarkStart w:id="29" w:name="_Toc403483366"/>
      <w:r>
        <w:rPr>
          <w:rFonts w:hint="eastAsia" w:ascii="宋体" w:hAnsi="宋体" w:cs="宋体"/>
          <w:b/>
          <w:bCs/>
          <w:color w:val="auto"/>
          <w:szCs w:val="21"/>
        </w:rPr>
        <w:t>2.1采购内容</w:t>
      </w:r>
    </w:p>
    <w:p w14:paraId="722A1428">
      <w:pPr>
        <w:pStyle w:val="11"/>
        <w:widowControl/>
        <w:adjustRightInd w:val="0"/>
        <w:spacing w:line="360" w:lineRule="auto"/>
        <w:ind w:firstLine="420" w:firstLineChars="200"/>
        <w:rPr>
          <w:rFonts w:hint="eastAsia" w:ascii="宋体" w:hAnsi="宋体" w:cs="宋体"/>
          <w:bCs/>
          <w:color w:val="FF0000"/>
          <w:szCs w:val="21"/>
        </w:rPr>
      </w:pPr>
      <w:r>
        <w:rPr>
          <w:rFonts w:hint="eastAsia" w:ascii="宋体" w:hAnsi="宋体" w:cs="宋体"/>
          <w:bCs/>
          <w:color w:val="auto"/>
          <w:szCs w:val="21"/>
        </w:rPr>
        <w:t>确定本次</w:t>
      </w:r>
      <w:r>
        <w:rPr>
          <w:rFonts w:hint="eastAsia" w:ascii="宋体" w:hAnsi="宋体" w:cs="宋体"/>
          <w:bCs/>
          <w:color w:val="auto"/>
          <w:szCs w:val="21"/>
          <w:lang w:val="en-US" w:eastAsia="zh-CN"/>
        </w:rPr>
        <w:t>中国机械总院</w:t>
      </w:r>
      <w:r>
        <w:rPr>
          <w:rFonts w:hint="eastAsia" w:ascii="宋体" w:hAnsi="宋体" w:cs="宋体"/>
          <w:bCs/>
          <w:color w:val="auto"/>
          <w:szCs w:val="21"/>
        </w:rPr>
        <w:t>餐饮服务项目的服务供应商1家，负责对在中国</w:t>
      </w:r>
      <w:r>
        <w:rPr>
          <w:rFonts w:hint="eastAsia" w:ascii="宋体" w:hAnsi="宋体" w:cs="宋体"/>
          <w:bCs/>
          <w:color w:val="auto"/>
          <w:szCs w:val="21"/>
          <w:lang w:val="en-US" w:eastAsia="zh-CN"/>
        </w:rPr>
        <w:t>机械总院首体办公区和怀柔办公区</w:t>
      </w:r>
      <w:r>
        <w:rPr>
          <w:rFonts w:hint="eastAsia" w:ascii="宋体" w:hAnsi="宋体" w:cs="宋体"/>
          <w:bCs/>
          <w:color w:val="auto"/>
          <w:szCs w:val="21"/>
        </w:rPr>
        <w:t>工作的人员提供餐饮服务，合同期限1年，合同期限届满前60天，经甲方书面同意，合同期限可延长1年，合同期限最长2年。</w:t>
      </w:r>
    </w:p>
    <w:p w14:paraId="1FA70D73">
      <w:pPr>
        <w:pStyle w:val="11"/>
        <w:widowControl/>
        <w:adjustRightInd w:val="0"/>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2.2供应商服务内容</w:t>
      </w:r>
    </w:p>
    <w:p w14:paraId="1453CE45">
      <w:pPr>
        <w:pStyle w:val="11"/>
        <w:widowControl/>
        <w:adjustRightInd w:val="0"/>
        <w:spacing w:line="360" w:lineRule="auto"/>
        <w:ind w:firstLine="420" w:firstLineChars="200"/>
        <w:rPr>
          <w:rFonts w:hint="eastAsia" w:ascii="宋体" w:hAnsi="宋体" w:cs="宋体"/>
          <w:szCs w:val="21"/>
        </w:rPr>
      </w:pPr>
      <w:bookmarkStart w:id="30" w:name="_Hlk168423565"/>
      <w:r>
        <w:rPr>
          <w:rFonts w:hint="eastAsia" w:ascii="宋体" w:hAnsi="宋体" w:cs="宋体"/>
          <w:color w:val="000000"/>
          <w:szCs w:val="21"/>
        </w:rPr>
        <w:t>餐饮服务，包括但不限于为招标人工作人员提供全年365天餐饮服务，早07:</w:t>
      </w:r>
      <w:r>
        <w:rPr>
          <w:rFonts w:hint="eastAsia" w:ascii="宋体" w:hAnsi="宋体" w:cs="宋体"/>
          <w:color w:val="000000"/>
          <w:szCs w:val="21"/>
          <w:lang w:val="en-US" w:eastAsia="zh-CN"/>
        </w:rPr>
        <w:t>0</w:t>
      </w:r>
      <w:r>
        <w:rPr>
          <w:rFonts w:hint="eastAsia" w:ascii="宋体" w:hAnsi="宋体" w:cs="宋体"/>
          <w:color w:val="000000"/>
          <w:szCs w:val="21"/>
        </w:rPr>
        <w:t>0至晚</w:t>
      </w:r>
      <w:r>
        <w:rPr>
          <w:rFonts w:hint="eastAsia" w:ascii="宋体" w:hAnsi="宋体" w:cs="宋体"/>
          <w:color w:val="000000"/>
          <w:szCs w:val="21"/>
          <w:lang w:val="en-US" w:eastAsia="zh-CN"/>
        </w:rPr>
        <w:t>18</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0的早、午、晚餐（包括工作日及节假日因</w:t>
      </w:r>
      <w:r>
        <w:rPr>
          <w:rFonts w:hint="eastAsia" w:ascii="宋体" w:hAnsi="宋体" w:cs="宋体"/>
          <w:bCs/>
          <w:szCs w:val="21"/>
          <w:lang w:bidi="ar"/>
        </w:rPr>
        <w:t>工</w:t>
      </w:r>
      <w:r>
        <w:rPr>
          <w:rFonts w:hint="eastAsia" w:ascii="宋体" w:hAnsi="宋体" w:cs="宋体"/>
          <w:color w:val="000000"/>
          <w:szCs w:val="21"/>
        </w:rPr>
        <w:t>用餐）等工作餐供应，同时承担招待餐、会议用餐、风味小吃、熟食外卖、</w:t>
      </w:r>
      <w:r>
        <w:rPr>
          <w:rFonts w:hint="eastAsia" w:ascii="宋体" w:hAnsi="宋体" w:cs="宋体"/>
          <w:szCs w:val="21"/>
        </w:rPr>
        <w:t>延伸服务</w:t>
      </w:r>
      <w:r>
        <w:rPr>
          <w:rFonts w:hint="eastAsia" w:ascii="宋体" w:hAnsi="宋体" w:cs="宋体"/>
          <w:color w:val="000000"/>
          <w:szCs w:val="21"/>
        </w:rPr>
        <w:t>和其他临时安排的就餐任务。</w:t>
      </w:r>
      <w:r>
        <w:rPr>
          <w:rFonts w:hint="eastAsia" w:ascii="宋体" w:hAnsi="宋体" w:cs="宋体"/>
          <w:szCs w:val="21"/>
        </w:rPr>
        <w:t>为满足招标人可能发生的大型或重要接待任务，体现供应商综合实力和服务能力，供应商需具备服务国家级大型活动接待、重要活动的用餐保障经验。</w:t>
      </w:r>
    </w:p>
    <w:bookmarkEnd w:id="30"/>
    <w:p w14:paraId="26F55445">
      <w:pPr>
        <w:tabs>
          <w:tab w:val="left" w:pos="425"/>
        </w:tabs>
        <w:adjustRightInd w:val="0"/>
        <w:spacing w:line="360" w:lineRule="auto"/>
        <w:ind w:firstLine="422" w:firstLineChars="200"/>
        <w:rPr>
          <w:rFonts w:hint="eastAsia" w:ascii="宋体" w:hAnsi="宋体" w:cs="宋体"/>
          <w:b/>
          <w:szCs w:val="21"/>
        </w:rPr>
      </w:pPr>
      <w:r>
        <w:rPr>
          <w:rFonts w:hint="eastAsia" w:ascii="宋体" w:hAnsi="宋体" w:cs="宋体"/>
          <w:b/>
          <w:szCs w:val="21"/>
          <w:lang w:bidi="ar"/>
        </w:rPr>
        <w:t>2.3项目详细情况</w:t>
      </w:r>
    </w:p>
    <w:p w14:paraId="0E519FF7">
      <w:pPr>
        <w:pStyle w:val="74"/>
        <w:widowControl/>
        <w:adjustRightInd w:val="0"/>
        <w:spacing w:line="360" w:lineRule="auto"/>
        <w:ind w:left="0" w:firstLine="420" w:firstLineChars="200"/>
        <w:rPr>
          <w:rFonts w:hint="eastAsia" w:ascii="宋体" w:hAnsi="宋体" w:cs="宋体"/>
          <w:szCs w:val="21"/>
        </w:rPr>
      </w:pPr>
      <w:r>
        <w:rPr>
          <w:rFonts w:hint="eastAsia" w:ascii="宋体" w:hAnsi="宋体" w:cs="宋体"/>
          <w:bCs/>
          <w:szCs w:val="21"/>
        </w:rPr>
        <w:t>2.3.1</w:t>
      </w:r>
      <w:r>
        <w:rPr>
          <w:rFonts w:hint="eastAsia" w:ascii="宋体" w:hAnsi="宋体" w:cs="宋体"/>
          <w:szCs w:val="21"/>
        </w:rPr>
        <w:t>招标人场地情况</w:t>
      </w:r>
    </w:p>
    <w:p w14:paraId="59B1A719">
      <w:pPr>
        <w:adjustRightInd w:val="0"/>
        <w:spacing w:line="360" w:lineRule="auto"/>
        <w:ind w:firstLine="420" w:firstLineChars="200"/>
        <w:rPr>
          <w:rFonts w:hint="eastAsia" w:ascii="宋体" w:hAnsi="宋体" w:cs="宋体"/>
          <w:szCs w:val="21"/>
          <w:lang w:eastAsia="zh-CN" w:bidi="ar"/>
        </w:rPr>
      </w:pPr>
      <w:r>
        <w:rPr>
          <w:rFonts w:hint="eastAsia" w:ascii="宋体" w:hAnsi="宋体" w:cs="宋体"/>
          <w:szCs w:val="21"/>
          <w:lang w:bidi="ar"/>
        </w:rPr>
        <w:t>地址</w:t>
      </w:r>
      <w:r>
        <w:rPr>
          <w:rFonts w:hint="eastAsia" w:ascii="宋体" w:hAnsi="宋体" w:cs="宋体"/>
          <w:szCs w:val="21"/>
          <w:lang w:val="en-US" w:eastAsia="zh-CN" w:bidi="ar"/>
        </w:rPr>
        <w:t>1</w:t>
      </w:r>
      <w:r>
        <w:rPr>
          <w:rFonts w:hint="eastAsia" w:ascii="宋体" w:hAnsi="宋体" w:cs="宋体"/>
          <w:szCs w:val="21"/>
          <w:lang w:bidi="ar"/>
        </w:rPr>
        <w:t>：位于</w:t>
      </w:r>
      <w:r>
        <w:rPr>
          <w:rFonts w:hint="eastAsia" w:ascii="宋体" w:hAnsi="宋体" w:cs="宋体"/>
          <w:szCs w:val="21"/>
          <w:lang w:val="en-US" w:eastAsia="zh-CN" w:bidi="ar"/>
        </w:rPr>
        <w:t>海淀区首体南路2号</w:t>
      </w:r>
      <w:r>
        <w:rPr>
          <w:rFonts w:hint="eastAsia" w:ascii="宋体" w:hAnsi="宋体" w:cs="宋体"/>
          <w:szCs w:val="21"/>
          <w:lang w:eastAsia="zh-CN" w:bidi="ar"/>
        </w:rPr>
        <w:t>；</w:t>
      </w:r>
    </w:p>
    <w:p w14:paraId="55C8A39F">
      <w:pPr>
        <w:adjustRightInd w:val="0"/>
        <w:spacing w:line="360" w:lineRule="auto"/>
        <w:ind w:firstLine="420" w:firstLineChars="200"/>
        <w:rPr>
          <w:rFonts w:hint="default" w:ascii="宋体" w:hAnsi="宋体" w:cs="宋体"/>
          <w:szCs w:val="21"/>
          <w:lang w:val="en-US" w:eastAsia="zh-CN" w:bidi="ar"/>
        </w:rPr>
      </w:pPr>
      <w:r>
        <w:rPr>
          <w:rFonts w:hint="eastAsia" w:ascii="宋体" w:hAnsi="宋体" w:cs="宋体"/>
          <w:szCs w:val="21"/>
          <w:lang w:val="en-US" w:eastAsia="zh-CN" w:bidi="ar"/>
        </w:rPr>
        <w:t>地址2：位于怀柔区乐园南二街东段1号。</w:t>
      </w:r>
    </w:p>
    <w:p w14:paraId="7BCF084A">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2.3.2</w:t>
      </w:r>
      <w:r>
        <w:rPr>
          <w:rFonts w:hint="eastAsia" w:ascii="宋体" w:hAnsi="宋体" w:cs="宋体"/>
          <w:szCs w:val="21"/>
          <w:lang w:bidi="ar"/>
        </w:rPr>
        <w:t>服务</w:t>
      </w:r>
      <w:r>
        <w:rPr>
          <w:rFonts w:hint="eastAsia" w:ascii="宋体" w:hAnsi="宋体" w:cs="宋体"/>
          <w:szCs w:val="21"/>
          <w:lang w:val="en-US" w:eastAsia="zh-CN" w:bidi="ar"/>
        </w:rPr>
        <w:t>区域及就餐规模</w:t>
      </w:r>
    </w:p>
    <w:p w14:paraId="3C372D12">
      <w:pPr>
        <w:adjustRightInd w:val="0"/>
        <w:spacing w:line="360" w:lineRule="auto"/>
        <w:ind w:firstLine="420" w:firstLineChars="200"/>
        <w:rPr>
          <w:rFonts w:hint="eastAsia" w:ascii="宋体" w:hAnsi="宋体" w:cs="宋体"/>
          <w:szCs w:val="21"/>
          <w:highlight w:val="yellow"/>
          <w:lang w:val="en-US" w:eastAsia="zh-CN" w:bidi="ar"/>
        </w:rPr>
      </w:pPr>
      <w:r>
        <w:rPr>
          <w:rFonts w:hint="eastAsia" w:ascii="宋体" w:hAnsi="宋体" w:cs="宋体"/>
          <w:szCs w:val="21"/>
          <w:lang w:val="en-US" w:eastAsia="zh-CN" w:bidi="ar"/>
        </w:rPr>
        <w:t>地址1：海淀区首体南路2号职工餐厅一层面积约500平米，设有39张餐桌，可容纳160人同时用餐，地下一层面积约200平米（含后厨），设有18张餐桌，可容纳80人同时用餐，工作日提供早餐为零点模式；中晚餐为</w:t>
      </w:r>
      <w:r>
        <w:rPr>
          <w:rFonts w:hint="eastAsia" w:ascii="宋体" w:hAnsi="宋体" w:cs="宋体"/>
          <w:szCs w:val="21"/>
          <w:highlight w:val="yellow"/>
          <w:lang w:val="en-US" w:eastAsia="zh-CN" w:bidi="ar"/>
        </w:rPr>
        <w:t>自助称重模式</w:t>
      </w:r>
      <w:r>
        <w:rPr>
          <w:rFonts w:hint="eastAsia" w:ascii="宋体" w:hAnsi="宋体" w:cs="宋体"/>
          <w:szCs w:val="21"/>
          <w:lang w:val="en-US" w:eastAsia="zh-CN" w:bidi="ar"/>
        </w:rPr>
        <w:t>；一层接待餐厅2间，可容纳40人用餐；地下一层接待餐厅3间，可容纳40人用餐，主要为接待用餐。接待餐厅与大餐厅共用1个厨房；职工餐厅每天就餐人数约900人/次/天（早餐300人/午餐500人/晚餐100人）,</w:t>
      </w:r>
      <w:r>
        <w:rPr>
          <w:rFonts w:hint="eastAsia" w:ascii="宋体" w:hAnsi="宋体" w:cs="宋体"/>
          <w:szCs w:val="21"/>
          <w:highlight w:val="yellow"/>
          <w:lang w:val="en-US" w:eastAsia="zh-CN" w:bidi="ar"/>
        </w:rPr>
        <w:t>同时负责东西区家属区的售餐工作（售餐时间：工作日提供早午餐，平均每日共30人左右，采用零点售餐模式）；</w:t>
      </w:r>
    </w:p>
    <w:p w14:paraId="47AAC81B">
      <w:pPr>
        <w:adjustRightInd w:val="0"/>
        <w:spacing w:line="360" w:lineRule="auto"/>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地址2：</w:t>
      </w:r>
      <w:r>
        <w:rPr>
          <w:rFonts w:hint="eastAsia" w:ascii="宋体" w:hAnsi="宋体" w:cs="宋体"/>
          <w:szCs w:val="21"/>
          <w:lang w:val="en-US" w:eastAsia="zh-CN" w:bidi="ar"/>
        </w:rPr>
        <w:t>怀柔区乐园南二街东段1号</w:t>
      </w:r>
      <w:r>
        <w:rPr>
          <w:rFonts w:hint="eastAsia" w:ascii="宋体" w:hAnsi="宋体" w:cs="宋体"/>
          <w:szCs w:val="21"/>
          <w:highlight w:val="none"/>
          <w:lang w:val="en-US" w:eastAsia="zh-CN" w:bidi="ar"/>
        </w:rPr>
        <w:t>职工餐厅一层面积约600平米，地下一层厨房面积约450平米，工作日提供早餐为零点模式；中晚餐为</w:t>
      </w:r>
      <w:r>
        <w:rPr>
          <w:rFonts w:hint="eastAsia" w:ascii="宋体" w:hAnsi="宋体" w:cs="宋体"/>
          <w:szCs w:val="21"/>
          <w:highlight w:val="yellow"/>
          <w:lang w:val="en-US" w:eastAsia="zh-CN" w:bidi="ar"/>
        </w:rPr>
        <w:t>自助称重模式</w:t>
      </w:r>
      <w:r>
        <w:rPr>
          <w:rFonts w:hint="eastAsia" w:ascii="宋体" w:hAnsi="宋体" w:cs="宋体"/>
          <w:szCs w:val="21"/>
          <w:highlight w:val="none"/>
          <w:lang w:val="en-US" w:eastAsia="zh-CN" w:bidi="ar"/>
        </w:rPr>
        <w:t>；二层宴会自助餐厅面积约460平米，可容纳180人用餐；会议餐厅7间面积约200平米，可容纳80人用餐，主要为接待用餐；职工餐厅每天就餐人数约500人/次/天（早餐180人/午餐260人/晚餐60人）。</w:t>
      </w:r>
    </w:p>
    <w:p w14:paraId="7DDF475F">
      <w:pPr>
        <w:adjustRightInd w:val="0"/>
        <w:spacing w:line="360" w:lineRule="auto"/>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2.3.3供餐时间</w:t>
      </w:r>
    </w:p>
    <w:p w14:paraId="096AED94">
      <w:pPr>
        <w:adjustRightInd w:val="0"/>
        <w:spacing w:line="360" w:lineRule="auto"/>
        <w:ind w:firstLine="420" w:firstLineChars="200"/>
        <w:rPr>
          <w:rFonts w:hint="default" w:ascii="宋体" w:hAnsi="宋体" w:cs="宋体"/>
          <w:szCs w:val="21"/>
          <w:highlight w:val="none"/>
          <w:lang w:val="en-US" w:eastAsia="zh-CN" w:bidi="ar"/>
        </w:rPr>
      </w:pPr>
      <w:r>
        <w:rPr>
          <w:rFonts w:hint="default" w:ascii="宋体" w:hAnsi="宋体" w:cs="宋体"/>
          <w:szCs w:val="21"/>
          <w:highlight w:val="none"/>
          <w:lang w:val="en-US" w:eastAsia="zh-CN" w:bidi="ar"/>
        </w:rPr>
        <w:t xml:space="preserve">首体：早餐： </w:t>
      </w:r>
      <w:r>
        <w:rPr>
          <w:rFonts w:hint="eastAsia" w:ascii="宋体" w:hAnsi="宋体" w:cs="宋体"/>
          <w:szCs w:val="21"/>
          <w:highlight w:val="none"/>
          <w:lang w:val="en-US" w:eastAsia="zh-CN" w:bidi="ar"/>
        </w:rPr>
        <w:t>0</w:t>
      </w:r>
      <w:r>
        <w:rPr>
          <w:rFonts w:hint="default" w:ascii="宋体" w:hAnsi="宋体" w:cs="宋体"/>
          <w:szCs w:val="21"/>
          <w:highlight w:val="none"/>
          <w:lang w:val="en-US" w:eastAsia="zh-CN" w:bidi="ar"/>
        </w:rPr>
        <w:t>7:</w:t>
      </w:r>
      <w:r>
        <w:rPr>
          <w:rFonts w:hint="eastAsia" w:ascii="宋体" w:hAnsi="宋体" w:cs="宋体"/>
          <w:szCs w:val="21"/>
          <w:highlight w:val="none"/>
          <w:lang w:val="en-US" w:eastAsia="zh-CN" w:bidi="ar"/>
        </w:rPr>
        <w:t>00</w:t>
      </w:r>
      <w:r>
        <w:rPr>
          <w:rFonts w:hint="default" w:ascii="宋体" w:hAnsi="宋体" w:cs="宋体"/>
          <w:szCs w:val="21"/>
          <w:highlight w:val="none"/>
          <w:lang w:val="en-US" w:eastAsia="zh-CN" w:bidi="ar"/>
        </w:rPr>
        <w:t>-</w:t>
      </w:r>
      <w:r>
        <w:rPr>
          <w:rFonts w:hint="eastAsia" w:ascii="宋体" w:hAnsi="宋体" w:cs="宋体"/>
          <w:szCs w:val="21"/>
          <w:highlight w:val="none"/>
          <w:lang w:val="en-US" w:eastAsia="zh-CN" w:bidi="ar"/>
        </w:rPr>
        <w:t>0</w:t>
      </w:r>
      <w:r>
        <w:rPr>
          <w:rFonts w:hint="default" w:ascii="宋体" w:hAnsi="宋体" w:cs="宋体"/>
          <w:szCs w:val="21"/>
          <w:highlight w:val="none"/>
          <w:lang w:val="en-US" w:eastAsia="zh-CN" w:bidi="ar"/>
        </w:rPr>
        <w:t>8:45         怀柔：早餐：</w:t>
      </w:r>
      <w:r>
        <w:rPr>
          <w:rFonts w:hint="eastAsia" w:ascii="宋体" w:hAnsi="宋体" w:cs="宋体"/>
          <w:szCs w:val="21"/>
          <w:highlight w:val="none"/>
          <w:lang w:val="en-US" w:eastAsia="zh-CN" w:bidi="ar"/>
        </w:rPr>
        <w:t>0</w:t>
      </w:r>
      <w:r>
        <w:rPr>
          <w:rFonts w:hint="default" w:ascii="宋体" w:hAnsi="宋体" w:cs="宋体"/>
          <w:szCs w:val="21"/>
          <w:highlight w:val="none"/>
          <w:lang w:val="en-US" w:eastAsia="zh-CN" w:bidi="ar"/>
        </w:rPr>
        <w:t>7:30-</w:t>
      </w:r>
      <w:r>
        <w:rPr>
          <w:rFonts w:hint="eastAsia" w:ascii="宋体" w:hAnsi="宋体" w:cs="宋体"/>
          <w:szCs w:val="21"/>
          <w:highlight w:val="none"/>
          <w:lang w:val="en-US" w:eastAsia="zh-CN" w:bidi="ar"/>
        </w:rPr>
        <w:t>0</w:t>
      </w:r>
      <w:r>
        <w:rPr>
          <w:rFonts w:hint="default" w:ascii="宋体" w:hAnsi="宋体" w:cs="宋体"/>
          <w:szCs w:val="21"/>
          <w:highlight w:val="none"/>
          <w:lang w:val="en-US" w:eastAsia="zh-CN" w:bidi="ar"/>
        </w:rPr>
        <w:t>9:00</w:t>
      </w:r>
    </w:p>
    <w:p w14:paraId="5E52B43E">
      <w:pPr>
        <w:adjustRightInd w:val="0"/>
        <w:spacing w:line="360" w:lineRule="auto"/>
        <w:ind w:firstLine="420" w:firstLineChars="200"/>
        <w:rPr>
          <w:rFonts w:hint="default" w:ascii="宋体" w:hAnsi="宋体" w:cs="宋体"/>
          <w:szCs w:val="21"/>
          <w:highlight w:val="none"/>
          <w:lang w:val="en-US" w:eastAsia="zh-CN" w:bidi="ar"/>
        </w:rPr>
      </w:pPr>
      <w:r>
        <w:rPr>
          <w:rFonts w:hint="default" w:ascii="宋体" w:hAnsi="宋体" w:cs="宋体"/>
          <w:szCs w:val="21"/>
          <w:highlight w:val="none"/>
          <w:lang w:val="en-US" w:eastAsia="zh-CN" w:bidi="ar"/>
        </w:rPr>
        <w:t xml:space="preserve">      午餐： 11:15-12:45         </w:t>
      </w:r>
      <w:r>
        <w:rPr>
          <w:rFonts w:hint="eastAsia" w:ascii="宋体" w:hAnsi="宋体" w:cs="宋体"/>
          <w:szCs w:val="21"/>
          <w:highlight w:val="none"/>
          <w:lang w:val="en-US" w:eastAsia="zh-CN" w:bidi="ar"/>
        </w:rPr>
        <w:t xml:space="preserve">  </w:t>
      </w:r>
      <w:r>
        <w:rPr>
          <w:rFonts w:hint="default" w:ascii="宋体" w:hAnsi="宋体" w:cs="宋体"/>
          <w:szCs w:val="21"/>
          <w:highlight w:val="none"/>
          <w:lang w:val="en-US" w:eastAsia="zh-CN" w:bidi="ar"/>
        </w:rPr>
        <w:t xml:space="preserve">    午餐：</w:t>
      </w:r>
      <w:r>
        <w:rPr>
          <w:rFonts w:hint="eastAsia" w:ascii="宋体" w:hAnsi="宋体" w:cs="宋体"/>
          <w:szCs w:val="21"/>
          <w:highlight w:val="none"/>
          <w:lang w:val="en-US" w:eastAsia="zh-CN" w:bidi="ar"/>
        </w:rPr>
        <w:t>11:30</w:t>
      </w:r>
      <w:r>
        <w:rPr>
          <w:rFonts w:hint="default" w:ascii="宋体" w:hAnsi="宋体" w:cs="宋体"/>
          <w:szCs w:val="21"/>
          <w:highlight w:val="none"/>
          <w:lang w:val="en-US" w:eastAsia="zh-CN" w:bidi="ar"/>
        </w:rPr>
        <w:t>-13:00</w:t>
      </w:r>
    </w:p>
    <w:p w14:paraId="7D69AE7B">
      <w:pPr>
        <w:adjustRightInd w:val="0"/>
        <w:spacing w:line="360" w:lineRule="auto"/>
        <w:ind w:firstLine="1050" w:firstLineChars="500"/>
        <w:rPr>
          <w:rFonts w:hint="default" w:ascii="宋体" w:hAnsi="宋体" w:cs="宋体"/>
          <w:szCs w:val="21"/>
          <w:highlight w:val="none"/>
          <w:lang w:val="en-US" w:eastAsia="zh-CN" w:bidi="ar"/>
        </w:rPr>
      </w:pPr>
      <w:r>
        <w:rPr>
          <w:rFonts w:hint="default" w:ascii="宋体" w:hAnsi="宋体" w:cs="宋体"/>
          <w:szCs w:val="21"/>
          <w:highlight w:val="none"/>
          <w:lang w:val="en-US" w:eastAsia="zh-CN" w:bidi="ar"/>
        </w:rPr>
        <w:t xml:space="preserve">晚餐： 17:00-18:30             </w:t>
      </w:r>
      <w:r>
        <w:rPr>
          <w:rFonts w:hint="eastAsia" w:ascii="宋体" w:hAnsi="宋体" w:cs="宋体"/>
          <w:szCs w:val="21"/>
          <w:highlight w:val="none"/>
          <w:lang w:val="en-US" w:eastAsia="zh-CN" w:bidi="ar"/>
        </w:rPr>
        <w:t xml:space="preserve">  </w:t>
      </w:r>
      <w:r>
        <w:rPr>
          <w:rFonts w:hint="default" w:ascii="宋体" w:hAnsi="宋体" w:cs="宋体"/>
          <w:szCs w:val="21"/>
          <w:highlight w:val="none"/>
          <w:lang w:val="en-US" w:eastAsia="zh-CN" w:bidi="ar"/>
        </w:rPr>
        <w:t>晚餐：16:50-18:30</w:t>
      </w:r>
    </w:p>
    <w:p w14:paraId="18722CBB">
      <w:pPr>
        <w:pStyle w:val="74"/>
        <w:widowControl/>
        <w:adjustRightInd w:val="0"/>
        <w:spacing w:line="360" w:lineRule="auto"/>
        <w:ind w:left="0" w:firstLine="420" w:firstLineChars="200"/>
        <w:rPr>
          <w:rFonts w:hint="eastAsia" w:ascii="宋体" w:hAnsi="宋体" w:cs="宋体"/>
          <w:szCs w:val="21"/>
        </w:rPr>
      </w:pPr>
      <w:r>
        <w:rPr>
          <w:rFonts w:hint="eastAsia" w:ascii="宋体" w:hAnsi="宋体" w:cs="宋体"/>
          <w:bCs/>
          <w:szCs w:val="21"/>
        </w:rPr>
        <w:t>2.3.</w:t>
      </w:r>
      <w:r>
        <w:rPr>
          <w:rFonts w:hint="eastAsia" w:ascii="宋体" w:hAnsi="宋体" w:cs="宋体"/>
          <w:bCs/>
          <w:szCs w:val="21"/>
          <w:lang w:val="en-US" w:eastAsia="zh-CN"/>
        </w:rPr>
        <w:t>4</w:t>
      </w:r>
      <w:r>
        <w:rPr>
          <w:rFonts w:hint="eastAsia" w:ascii="宋体" w:hAnsi="宋体" w:cs="宋体"/>
          <w:szCs w:val="21"/>
        </w:rPr>
        <w:t>服务场地水、电、燃气及空调系统运行供应正常。</w:t>
      </w:r>
    </w:p>
    <w:p w14:paraId="0312DE41">
      <w:pPr>
        <w:pStyle w:val="74"/>
        <w:widowControl/>
        <w:adjustRightInd w:val="0"/>
        <w:spacing w:line="360" w:lineRule="auto"/>
        <w:ind w:left="0" w:firstLine="420" w:firstLineChars="200"/>
        <w:rPr>
          <w:rFonts w:hint="eastAsia" w:ascii="宋体" w:hAnsi="宋体" w:cs="宋体"/>
          <w:szCs w:val="21"/>
          <w:lang w:val="en-US" w:eastAsia="zh-CN"/>
        </w:rPr>
      </w:pPr>
      <w:r>
        <w:rPr>
          <w:rFonts w:hint="eastAsia" w:ascii="宋体" w:hAnsi="宋体" w:cs="宋体"/>
          <w:szCs w:val="21"/>
          <w:lang w:val="en-US" w:eastAsia="zh-CN"/>
        </w:rPr>
        <w:t>2.3.5服务现场人员配备</w:t>
      </w:r>
    </w:p>
    <w:p w14:paraId="3A30DA80">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bidi="ar"/>
        </w:rPr>
        <w:t>地址</w:t>
      </w:r>
      <w:r>
        <w:rPr>
          <w:rFonts w:hint="eastAsia" w:ascii="宋体" w:hAnsi="宋体" w:cs="宋体"/>
          <w:szCs w:val="21"/>
          <w:lang w:val="en-US" w:eastAsia="zh-CN" w:bidi="ar"/>
        </w:rPr>
        <w:t>1</w:t>
      </w:r>
      <w:r>
        <w:rPr>
          <w:rFonts w:hint="eastAsia" w:ascii="宋体" w:hAnsi="宋体" w:cs="宋体"/>
          <w:szCs w:val="21"/>
          <w:lang w:bidi="ar"/>
        </w:rPr>
        <w:t>：位于</w:t>
      </w:r>
      <w:r>
        <w:rPr>
          <w:rFonts w:hint="eastAsia" w:ascii="宋体" w:hAnsi="宋体" w:cs="宋体"/>
          <w:szCs w:val="21"/>
          <w:lang w:val="en-US" w:eastAsia="zh-CN" w:bidi="ar"/>
        </w:rPr>
        <w:t>海淀区首体南路2号，提供宿舍，人员配备不高于29人；</w:t>
      </w:r>
    </w:p>
    <w:p w14:paraId="584DF9FF">
      <w:pPr>
        <w:adjustRightInd w:val="0"/>
        <w:spacing w:line="360" w:lineRule="auto"/>
        <w:ind w:firstLine="420" w:firstLineChars="200"/>
        <w:rPr>
          <w:rFonts w:hint="eastAsia" w:ascii="宋体" w:hAnsi="宋体" w:eastAsia="宋体" w:cs="宋体"/>
          <w:b/>
          <w:bCs/>
          <w:sz w:val="21"/>
          <w:szCs w:val="21"/>
        </w:rPr>
      </w:pPr>
      <w:r>
        <w:rPr>
          <w:rFonts w:hint="eastAsia" w:ascii="宋体" w:hAnsi="宋体" w:cs="宋体"/>
          <w:szCs w:val="21"/>
          <w:lang w:val="en-US" w:eastAsia="zh-CN" w:bidi="ar"/>
        </w:rPr>
        <w:t>地址2：位于怀柔区乐园南二街东段1号，不提供宿舍，人员配备不高于24人。</w:t>
      </w:r>
    </w:p>
    <w:p w14:paraId="66E98A91">
      <w:pPr>
        <w:pStyle w:val="76"/>
        <w:adjustRightInd w:val="0"/>
        <w:ind w:firstLine="422"/>
        <w:rPr>
          <w:rFonts w:hint="eastAsia" w:ascii="宋体" w:hAnsi="宋体" w:eastAsia="宋体" w:cs="宋体"/>
          <w:b/>
          <w:bCs/>
          <w:sz w:val="21"/>
          <w:szCs w:val="21"/>
        </w:rPr>
      </w:pPr>
      <w:r>
        <w:rPr>
          <w:rFonts w:ascii="宋体" w:hAnsi="宋体" w:eastAsia="宋体" w:cs="宋体"/>
          <w:b/>
          <w:bCs/>
          <w:sz w:val="21"/>
          <w:szCs w:val="21"/>
        </w:rPr>
        <w:t>三、项目要求</w:t>
      </w:r>
      <w:bookmarkEnd w:id="29"/>
    </w:p>
    <w:p w14:paraId="28914637">
      <w:pPr>
        <w:adjustRightInd w:val="0"/>
        <w:spacing w:line="360" w:lineRule="auto"/>
        <w:ind w:firstLine="422" w:firstLineChars="200"/>
        <w:rPr>
          <w:rFonts w:hint="eastAsia" w:ascii="宋体" w:hAnsi="宋体" w:cs="宋体"/>
          <w:b/>
          <w:szCs w:val="21"/>
        </w:rPr>
      </w:pPr>
      <w:bookmarkStart w:id="31" w:name="_Toc403483378"/>
      <w:r>
        <w:rPr>
          <w:rFonts w:hint="eastAsia" w:ascii="宋体" w:hAnsi="宋体" w:cs="宋体"/>
          <w:b/>
          <w:szCs w:val="21"/>
          <w:lang w:bidi="ar"/>
        </w:rPr>
        <w:t>3.1项目基本要求</w:t>
      </w:r>
    </w:p>
    <w:p w14:paraId="014F75E7">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3.1.1餐饮服务方式：</w:t>
      </w:r>
    </w:p>
    <w:p w14:paraId="5BDB7006">
      <w:pPr>
        <w:adjustRightInd w:val="0"/>
        <w:spacing w:line="360" w:lineRule="auto"/>
        <w:ind w:firstLine="420" w:firstLineChars="200"/>
        <w:rPr>
          <w:rFonts w:hint="eastAsia" w:ascii="宋体" w:hAnsi="宋体" w:cs="宋体"/>
          <w:b w:val="0"/>
          <w:bCs/>
          <w:szCs w:val="21"/>
          <w:lang w:bidi="ar"/>
        </w:rPr>
      </w:pPr>
      <w:r>
        <w:rPr>
          <w:rFonts w:hint="eastAsia" w:ascii="宋体" w:hAnsi="宋体" w:cs="宋体"/>
          <w:b w:val="0"/>
          <w:bCs/>
          <w:szCs w:val="21"/>
          <w:lang w:eastAsia="zh-CN" w:bidi="ar"/>
        </w:rPr>
        <w:t>（</w:t>
      </w:r>
      <w:r>
        <w:rPr>
          <w:rFonts w:hint="eastAsia" w:ascii="宋体" w:hAnsi="宋体" w:cs="宋体"/>
          <w:b w:val="0"/>
          <w:bCs/>
          <w:szCs w:val="21"/>
          <w:lang w:val="en-US" w:eastAsia="zh-CN" w:bidi="ar"/>
        </w:rPr>
        <w:t>1</w:t>
      </w:r>
      <w:r>
        <w:rPr>
          <w:rFonts w:hint="eastAsia" w:ascii="宋体" w:hAnsi="宋体" w:cs="宋体"/>
          <w:b w:val="0"/>
          <w:bCs/>
          <w:szCs w:val="21"/>
          <w:lang w:eastAsia="zh-CN" w:bidi="ar"/>
        </w:rPr>
        <w:t>）</w:t>
      </w:r>
      <w:r>
        <w:rPr>
          <w:rFonts w:hint="eastAsia" w:ascii="宋体" w:hAnsi="宋体" w:cs="宋体"/>
          <w:b w:val="0"/>
          <w:bCs/>
          <w:szCs w:val="21"/>
          <w:lang w:val="en-US" w:eastAsia="zh-CN" w:bidi="ar"/>
        </w:rPr>
        <w:t>工作日早餐</w:t>
      </w:r>
      <w:r>
        <w:rPr>
          <w:rFonts w:hint="eastAsia" w:ascii="宋体" w:hAnsi="宋体" w:cs="宋体"/>
          <w:b w:val="0"/>
          <w:bCs/>
          <w:szCs w:val="21"/>
          <w:lang w:bidi="ar"/>
        </w:rPr>
        <w:t>：</w:t>
      </w:r>
    </w:p>
    <w:p w14:paraId="550BF150">
      <w:pPr>
        <w:spacing w:line="360" w:lineRule="auto"/>
        <w:ind w:firstLine="420" w:firstLineChars="200"/>
        <w:rPr>
          <w:rFonts w:hint="eastAsia" w:ascii="宋体" w:hAnsi="宋体" w:eastAsia="宋体"/>
          <w:b w:val="0"/>
          <w:bCs/>
          <w:szCs w:val="21"/>
          <w:lang w:val="en-US" w:eastAsia="zh-CN"/>
        </w:rPr>
      </w:pPr>
      <w:r>
        <w:rPr>
          <w:rFonts w:hint="eastAsia" w:ascii="宋体" w:hAnsi="宋体"/>
          <w:b w:val="0"/>
          <w:bCs/>
          <w:szCs w:val="21"/>
        </w:rPr>
        <w:t>就餐模式：</w:t>
      </w:r>
      <w:r>
        <w:rPr>
          <w:rFonts w:hint="eastAsia" w:ascii="宋体" w:hAnsi="宋体"/>
          <w:b w:val="0"/>
          <w:bCs/>
          <w:szCs w:val="21"/>
          <w:lang w:val="en-US" w:eastAsia="zh-CN"/>
        </w:rPr>
        <w:t>零点</w:t>
      </w:r>
    </w:p>
    <w:p w14:paraId="2AEDD74F">
      <w:pPr>
        <w:spacing w:line="360" w:lineRule="auto"/>
        <w:ind w:firstLine="420" w:firstLineChars="200"/>
        <w:rPr>
          <w:rFonts w:hint="eastAsia" w:ascii="宋体" w:hAnsi="宋体"/>
          <w:b w:val="0"/>
          <w:bCs/>
          <w:szCs w:val="21"/>
          <w:highlight w:val="none"/>
        </w:rPr>
      </w:pPr>
      <w:r>
        <w:rPr>
          <w:rFonts w:hint="eastAsia" w:ascii="宋体" w:hAnsi="宋体"/>
          <w:b w:val="0"/>
          <w:bCs/>
          <w:szCs w:val="21"/>
        </w:rPr>
        <w:t>每餐种类最低要求</w:t>
      </w:r>
      <w:r>
        <w:rPr>
          <w:rFonts w:hint="eastAsia" w:ascii="宋体" w:hAnsi="宋体"/>
          <w:b w:val="0"/>
          <w:bCs/>
          <w:szCs w:val="21"/>
          <w:highlight w:val="none"/>
        </w:rPr>
        <w:t>：凉菜1荤1素，咸菜1种，主食8种，汤粥6种。</w:t>
      </w:r>
    </w:p>
    <w:p w14:paraId="56FEF6FD">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（2）工作日</w:t>
      </w:r>
      <w:r>
        <w:rPr>
          <w:rFonts w:hint="eastAsia" w:ascii="宋体" w:hAnsi="宋体"/>
          <w:b w:val="0"/>
          <w:bCs/>
          <w:szCs w:val="21"/>
          <w:highlight w:val="none"/>
        </w:rPr>
        <w:t>午</w:t>
      </w:r>
      <w:r>
        <w:rPr>
          <w:rFonts w:hint="eastAsia" w:ascii="宋体" w:hAnsi="宋体"/>
          <w:b w:val="0"/>
          <w:bCs/>
          <w:szCs w:val="21"/>
          <w:highlight w:val="none"/>
          <w:lang w:val="en-US" w:eastAsia="zh-CN"/>
        </w:rPr>
        <w:t>晚</w:t>
      </w:r>
      <w:r>
        <w:rPr>
          <w:rFonts w:hint="eastAsia" w:ascii="宋体" w:hAnsi="宋体"/>
          <w:b w:val="0"/>
          <w:bCs/>
          <w:szCs w:val="21"/>
          <w:highlight w:val="none"/>
        </w:rPr>
        <w:t>餐：</w:t>
      </w:r>
    </w:p>
    <w:p w14:paraId="7ADEEE64">
      <w:pPr>
        <w:spacing w:line="360" w:lineRule="auto"/>
        <w:ind w:firstLine="420" w:firstLineChars="200"/>
        <w:rPr>
          <w:rFonts w:hint="default" w:ascii="宋体" w:hAnsi="宋体" w:eastAsia="宋体"/>
          <w:b w:val="0"/>
          <w:bCs/>
          <w:szCs w:val="21"/>
          <w:highlight w:val="none"/>
          <w:lang w:val="en-US" w:eastAsia="zh-CN"/>
        </w:rPr>
      </w:pPr>
      <w:r>
        <w:rPr>
          <w:rFonts w:hint="eastAsia" w:ascii="宋体" w:hAnsi="宋体"/>
          <w:b w:val="0"/>
          <w:bCs/>
          <w:szCs w:val="21"/>
          <w:highlight w:val="none"/>
        </w:rPr>
        <w:t>就餐模式：自助</w:t>
      </w:r>
      <w:r>
        <w:rPr>
          <w:rFonts w:hint="eastAsia" w:ascii="宋体" w:hAnsi="宋体"/>
          <w:b w:val="0"/>
          <w:bCs/>
          <w:szCs w:val="21"/>
          <w:highlight w:val="none"/>
          <w:lang w:val="en-US" w:eastAsia="zh-CN"/>
        </w:rPr>
        <w:t>称重和零点，</w:t>
      </w:r>
      <w:r>
        <w:rPr>
          <w:rFonts w:hint="eastAsia" w:ascii="宋体" w:hAnsi="宋体"/>
          <w:b w:val="0"/>
          <w:bCs/>
          <w:szCs w:val="21"/>
          <w:highlight w:val="none"/>
        </w:rPr>
        <w:t>其中自助</w:t>
      </w:r>
      <w:r>
        <w:rPr>
          <w:rFonts w:hint="eastAsia" w:ascii="宋体" w:hAnsi="宋体"/>
          <w:b w:val="0"/>
          <w:bCs/>
          <w:szCs w:val="21"/>
          <w:highlight w:val="none"/>
          <w:lang w:val="en-US" w:eastAsia="zh-CN"/>
        </w:rPr>
        <w:t>称重</w:t>
      </w:r>
      <w:r>
        <w:rPr>
          <w:rFonts w:hint="eastAsia" w:ascii="宋体" w:hAnsi="宋体"/>
          <w:b w:val="0"/>
          <w:bCs/>
          <w:szCs w:val="21"/>
          <w:highlight w:val="none"/>
        </w:rPr>
        <w:t>主要用于满足员工因</w:t>
      </w:r>
      <w:r>
        <w:rPr>
          <w:rFonts w:hint="eastAsia" w:ascii="宋体" w:hAnsi="宋体" w:cs="宋体"/>
          <w:b w:val="0"/>
          <w:bCs/>
          <w:szCs w:val="21"/>
          <w:highlight w:val="none"/>
          <w:lang w:bidi="ar"/>
        </w:rPr>
        <w:t>工</w:t>
      </w:r>
      <w:r>
        <w:rPr>
          <w:rFonts w:hint="eastAsia" w:ascii="宋体" w:hAnsi="宋体"/>
          <w:b w:val="0"/>
          <w:bCs/>
          <w:szCs w:val="21"/>
          <w:highlight w:val="none"/>
        </w:rPr>
        <w:t>用餐需求，其他人员用餐需要个人自费支付；零点模式供员工自费用餐，可打包外带。</w:t>
      </w:r>
    </w:p>
    <w:p w14:paraId="4683A708">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rPr>
        <w:t>每餐种类最低要求：主荤菜2种，半荤菜2种，素菜2种，凉菜2种，主食5种，汤粥2种，水果1种，酸奶1种。</w:t>
      </w:r>
    </w:p>
    <w:p w14:paraId="24E9069C">
      <w:pPr>
        <w:adjustRightInd w:val="0"/>
        <w:spacing w:line="360" w:lineRule="auto"/>
        <w:ind w:firstLine="420" w:firstLineChars="200"/>
        <w:rPr>
          <w:rFonts w:hint="eastAsia" w:ascii="宋体" w:hAnsi="宋体" w:cs="宋体"/>
          <w:b w:val="0"/>
          <w:bCs/>
          <w:szCs w:val="21"/>
          <w:highlight w:val="none"/>
        </w:rPr>
      </w:pPr>
      <w:bookmarkStart w:id="32" w:name="_Hlk168423846"/>
      <w:r>
        <w:rPr>
          <w:rFonts w:hint="eastAsia" w:ascii="宋体" w:hAnsi="宋体" w:cs="宋体"/>
          <w:b w:val="0"/>
          <w:bCs/>
          <w:szCs w:val="21"/>
          <w:highlight w:val="none"/>
          <w:lang w:eastAsia="zh-CN" w:bidi="ar"/>
        </w:rPr>
        <w:t>（</w:t>
      </w:r>
      <w:r>
        <w:rPr>
          <w:rFonts w:hint="eastAsia" w:ascii="宋体" w:hAnsi="宋体" w:cs="宋体"/>
          <w:b w:val="0"/>
          <w:bCs/>
          <w:szCs w:val="21"/>
          <w:highlight w:val="none"/>
          <w:lang w:val="en-US" w:eastAsia="zh-CN" w:bidi="ar"/>
        </w:rPr>
        <w:t>3</w:t>
      </w:r>
      <w:r>
        <w:rPr>
          <w:rFonts w:hint="eastAsia" w:ascii="宋体" w:hAnsi="宋体" w:cs="宋体"/>
          <w:b w:val="0"/>
          <w:bCs/>
          <w:szCs w:val="21"/>
          <w:highlight w:val="none"/>
          <w:lang w:eastAsia="zh-CN" w:bidi="ar"/>
        </w:rPr>
        <w:t>）</w:t>
      </w:r>
      <w:r>
        <w:rPr>
          <w:rFonts w:hint="eastAsia" w:ascii="宋体" w:hAnsi="宋体" w:cs="宋体"/>
          <w:b w:val="0"/>
          <w:bCs/>
          <w:szCs w:val="21"/>
          <w:highlight w:val="none"/>
          <w:lang w:bidi="ar"/>
        </w:rPr>
        <w:t>节假日、周末：供餐形式根据招标人要求执行。</w:t>
      </w:r>
    </w:p>
    <w:p w14:paraId="6D4871D1">
      <w:pPr>
        <w:adjustRightInd w:val="0"/>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lang w:eastAsia="zh-CN" w:bidi="ar"/>
        </w:rPr>
        <w:t>（</w:t>
      </w:r>
      <w:r>
        <w:rPr>
          <w:rFonts w:hint="eastAsia" w:ascii="宋体" w:hAnsi="宋体" w:cs="宋体"/>
          <w:b w:val="0"/>
          <w:bCs/>
          <w:szCs w:val="21"/>
          <w:highlight w:val="none"/>
          <w:lang w:val="en-US" w:eastAsia="zh-CN" w:bidi="ar"/>
        </w:rPr>
        <w:t>4</w:t>
      </w:r>
      <w:r>
        <w:rPr>
          <w:rFonts w:hint="eastAsia" w:ascii="宋体" w:hAnsi="宋体" w:cs="宋体"/>
          <w:b w:val="0"/>
          <w:bCs/>
          <w:szCs w:val="21"/>
          <w:highlight w:val="none"/>
          <w:lang w:eastAsia="zh-CN" w:bidi="ar"/>
        </w:rPr>
        <w:t>）</w:t>
      </w:r>
      <w:r>
        <w:rPr>
          <w:rFonts w:hint="eastAsia" w:ascii="宋体" w:hAnsi="宋体" w:cs="宋体"/>
          <w:b w:val="0"/>
          <w:bCs/>
          <w:szCs w:val="21"/>
          <w:highlight w:val="none"/>
          <w:lang w:bidi="ar"/>
        </w:rPr>
        <w:t>外卖熟食：餐饮服务商每</w:t>
      </w:r>
      <w:r>
        <w:rPr>
          <w:rFonts w:hint="eastAsia" w:ascii="宋体" w:hAnsi="宋体" w:cs="宋体"/>
          <w:b w:val="0"/>
          <w:bCs/>
          <w:szCs w:val="21"/>
          <w:highlight w:val="none"/>
          <w:lang w:val="en-US" w:eastAsia="zh-CN" w:bidi="ar"/>
        </w:rPr>
        <w:t>周1个</w:t>
      </w:r>
      <w:r>
        <w:rPr>
          <w:rFonts w:hint="eastAsia" w:ascii="宋体" w:hAnsi="宋体" w:cs="宋体"/>
          <w:b w:val="0"/>
          <w:bCs/>
          <w:szCs w:val="21"/>
          <w:highlight w:val="none"/>
          <w:lang w:bidi="ar"/>
        </w:rPr>
        <w:t>工作日向员工提供外卖熟食。</w:t>
      </w:r>
    </w:p>
    <w:p w14:paraId="7A599DDB">
      <w:pPr>
        <w:adjustRightInd w:val="0"/>
        <w:spacing w:line="360" w:lineRule="auto"/>
        <w:ind w:firstLine="420" w:firstLineChars="200"/>
        <w:rPr>
          <w:rFonts w:hint="eastAsia" w:ascii="宋体" w:hAnsi="宋体" w:cs="宋体"/>
          <w:b w:val="0"/>
          <w:bCs/>
          <w:szCs w:val="21"/>
        </w:rPr>
      </w:pPr>
      <w:r>
        <w:rPr>
          <w:rFonts w:hint="eastAsia" w:ascii="宋体" w:hAnsi="宋体" w:cs="宋体"/>
          <w:b w:val="0"/>
          <w:bCs/>
          <w:szCs w:val="21"/>
          <w:lang w:eastAsia="zh-CN" w:bidi="ar"/>
        </w:rPr>
        <w:t>（</w:t>
      </w:r>
      <w:r>
        <w:rPr>
          <w:rFonts w:hint="eastAsia" w:ascii="宋体" w:hAnsi="宋体" w:cs="宋体"/>
          <w:b w:val="0"/>
          <w:bCs/>
          <w:szCs w:val="21"/>
          <w:lang w:val="en-US" w:eastAsia="zh-CN" w:bidi="ar"/>
        </w:rPr>
        <w:t>5</w:t>
      </w:r>
      <w:r>
        <w:rPr>
          <w:rFonts w:hint="eastAsia" w:ascii="宋体" w:hAnsi="宋体" w:cs="宋体"/>
          <w:b w:val="0"/>
          <w:bCs/>
          <w:szCs w:val="21"/>
          <w:lang w:eastAsia="zh-CN" w:bidi="ar"/>
        </w:rPr>
        <w:t>）</w:t>
      </w:r>
      <w:r>
        <w:rPr>
          <w:rFonts w:hint="eastAsia" w:ascii="宋体" w:hAnsi="宋体" w:cs="宋体"/>
          <w:b w:val="0"/>
          <w:bCs/>
          <w:szCs w:val="21"/>
          <w:lang w:bidi="ar"/>
        </w:rPr>
        <w:t>食堂延伸服务：根据招标人要求执行。</w:t>
      </w:r>
    </w:p>
    <w:p w14:paraId="05B6AEC6">
      <w:pPr>
        <w:adjustRightInd w:val="0"/>
        <w:spacing w:line="360" w:lineRule="auto"/>
        <w:ind w:firstLine="420" w:firstLineChars="200"/>
        <w:rPr>
          <w:rFonts w:hint="eastAsia" w:ascii="宋体" w:hAnsi="宋体" w:cs="宋体"/>
          <w:szCs w:val="21"/>
          <w:highlight w:val="none"/>
        </w:rPr>
      </w:pPr>
      <w:r>
        <w:rPr>
          <w:rFonts w:hint="eastAsia" w:ascii="宋体" w:hAnsi="宋体" w:cs="宋体"/>
          <w:b w:val="0"/>
          <w:bCs/>
          <w:szCs w:val="21"/>
          <w:highlight w:val="none"/>
          <w:lang w:eastAsia="zh-CN" w:bidi="ar"/>
        </w:rPr>
        <w:t>（</w:t>
      </w:r>
      <w:r>
        <w:rPr>
          <w:rFonts w:hint="eastAsia" w:ascii="宋体" w:hAnsi="宋体" w:cs="宋体"/>
          <w:b w:val="0"/>
          <w:bCs/>
          <w:szCs w:val="21"/>
          <w:highlight w:val="none"/>
          <w:lang w:val="en-US" w:eastAsia="zh-CN" w:bidi="ar"/>
        </w:rPr>
        <w:t>6</w:t>
      </w:r>
      <w:r>
        <w:rPr>
          <w:rFonts w:hint="eastAsia" w:ascii="宋体" w:hAnsi="宋体" w:cs="宋体"/>
          <w:b w:val="0"/>
          <w:bCs/>
          <w:szCs w:val="21"/>
          <w:highlight w:val="none"/>
          <w:lang w:eastAsia="zh-CN" w:bidi="ar"/>
        </w:rPr>
        <w:t>）</w:t>
      </w:r>
      <w:r>
        <w:rPr>
          <w:rFonts w:hint="eastAsia" w:ascii="宋体" w:hAnsi="宋体" w:cs="宋体"/>
          <w:b w:val="0"/>
          <w:bCs/>
          <w:szCs w:val="21"/>
          <w:highlight w:val="none"/>
          <w:lang w:bidi="ar"/>
        </w:rPr>
        <w:t>招待餐：采取自助餐或者</w:t>
      </w:r>
      <w:r>
        <w:rPr>
          <w:rFonts w:hint="eastAsia" w:ascii="宋体" w:hAnsi="宋体" w:cs="宋体"/>
          <w:szCs w:val="21"/>
          <w:highlight w:val="none"/>
          <w:lang w:bidi="ar"/>
        </w:rPr>
        <w:t>包桌订餐两种方式。</w:t>
      </w:r>
    </w:p>
    <w:p w14:paraId="13B667B0">
      <w:pPr>
        <w:adjustRightInd w:val="0"/>
        <w:spacing w:line="360" w:lineRule="auto"/>
        <w:ind w:firstLine="420" w:firstLineChars="200"/>
        <w:rPr>
          <w:rFonts w:hint="eastAsia" w:ascii="宋体" w:hAnsi="宋体" w:cs="宋体"/>
          <w:szCs w:val="21"/>
        </w:rPr>
      </w:pPr>
      <w:r>
        <w:rPr>
          <w:rFonts w:hint="eastAsia" w:ascii="宋体" w:hAnsi="宋体" w:cs="宋体"/>
          <w:szCs w:val="21"/>
          <w:lang w:eastAsia="zh-CN" w:bidi="ar"/>
        </w:rPr>
        <w:t>（</w:t>
      </w:r>
      <w:r>
        <w:rPr>
          <w:rFonts w:hint="eastAsia" w:ascii="宋体" w:hAnsi="宋体" w:cs="宋体"/>
          <w:szCs w:val="21"/>
          <w:lang w:val="en-US" w:eastAsia="zh-CN" w:bidi="ar"/>
        </w:rPr>
        <w:t>7</w:t>
      </w:r>
      <w:r>
        <w:rPr>
          <w:rFonts w:hint="eastAsia" w:ascii="宋体" w:hAnsi="宋体" w:cs="宋体"/>
          <w:szCs w:val="21"/>
          <w:lang w:eastAsia="zh-CN" w:bidi="ar"/>
        </w:rPr>
        <w:t>）</w:t>
      </w:r>
      <w:r>
        <w:rPr>
          <w:rFonts w:hint="eastAsia" w:ascii="宋体" w:hAnsi="宋体" w:cs="宋体"/>
          <w:szCs w:val="21"/>
          <w:lang w:bidi="ar"/>
        </w:rPr>
        <w:t>各种零点、小炒、招待餐、商务餐、外卖熟食、茶点、轻食服务、食堂延伸服务等</w:t>
      </w:r>
      <w:r>
        <w:rPr>
          <w:rFonts w:hint="eastAsia" w:ascii="宋体" w:hAnsi="宋体" w:cs="宋体"/>
          <w:bCs/>
          <w:szCs w:val="21"/>
          <w:lang w:bidi="ar"/>
        </w:rPr>
        <w:t>以投标人成本价出售，价格需经招标人审核确定。</w:t>
      </w:r>
    </w:p>
    <w:bookmarkEnd w:id="32"/>
    <w:p w14:paraId="61904D6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3.1.</w:t>
      </w:r>
      <w:r>
        <w:rPr>
          <w:rFonts w:hint="eastAsia" w:ascii="宋体" w:hAnsi="宋体" w:cs="宋体"/>
          <w:szCs w:val="21"/>
          <w:lang w:val="en-US" w:eastAsia="zh-CN" w:bidi="ar"/>
        </w:rPr>
        <w:t>2</w:t>
      </w:r>
      <w:r>
        <w:rPr>
          <w:rFonts w:hint="eastAsia" w:ascii="宋体" w:hAnsi="宋体" w:cs="宋体"/>
          <w:szCs w:val="21"/>
          <w:lang w:bidi="ar"/>
        </w:rPr>
        <w:t>实施方案：</w:t>
      </w:r>
    </w:p>
    <w:p w14:paraId="723FDBF0">
      <w:pPr>
        <w:adjustRightInd w:val="0"/>
        <w:spacing w:line="360" w:lineRule="auto"/>
        <w:ind w:firstLine="420" w:firstLineChars="200"/>
        <w:rPr>
          <w:rFonts w:hint="eastAsia" w:ascii="宋体" w:hAnsi="宋体" w:cs="宋体"/>
          <w:b w:val="0"/>
          <w:bCs/>
          <w:szCs w:val="21"/>
        </w:rPr>
      </w:pPr>
      <w:r>
        <w:rPr>
          <w:rFonts w:hint="eastAsia" w:ascii="宋体" w:hAnsi="宋体" w:cs="宋体"/>
          <w:b w:val="0"/>
          <w:bCs/>
          <w:szCs w:val="21"/>
          <w:lang w:bidi="ar"/>
        </w:rPr>
        <w:t>1.本项目餐饮服务运营模式为</w:t>
      </w:r>
      <w:r>
        <w:rPr>
          <w:rFonts w:hint="eastAsia" w:ascii="宋体" w:hAnsi="宋体" w:cs="宋体"/>
          <w:b w:val="0"/>
          <w:bCs/>
          <w:szCs w:val="21"/>
          <w:lang w:val="en-US" w:eastAsia="zh-CN" w:bidi="ar"/>
        </w:rPr>
        <w:t>管理服务费</w:t>
      </w:r>
      <w:r>
        <w:rPr>
          <w:rFonts w:hint="eastAsia" w:ascii="宋体" w:hAnsi="宋体" w:cs="宋体"/>
          <w:b w:val="0"/>
          <w:bCs/>
          <w:szCs w:val="21"/>
          <w:lang w:bidi="ar"/>
        </w:rPr>
        <w:t>模式，中标服务商完成本项目所涉及的团队建设与管理、疫情防控、日常食品制作加工、</w:t>
      </w:r>
      <w:bookmarkStart w:id="33" w:name="_Hlk168424031"/>
      <w:r>
        <w:rPr>
          <w:rFonts w:hint="eastAsia" w:ascii="宋体" w:hAnsi="宋体" w:cs="宋体"/>
          <w:b w:val="0"/>
          <w:bCs/>
          <w:szCs w:val="21"/>
          <w:lang w:bidi="ar"/>
        </w:rPr>
        <w:t>宴会餐制作、会议餐制作和临时安排的餐饮制作任务</w:t>
      </w:r>
      <w:bookmarkEnd w:id="33"/>
      <w:r>
        <w:rPr>
          <w:rFonts w:hint="eastAsia" w:ascii="宋体" w:hAnsi="宋体" w:cs="宋体"/>
          <w:b w:val="0"/>
          <w:bCs/>
          <w:szCs w:val="21"/>
          <w:lang w:bidi="ar"/>
        </w:rPr>
        <w:t>及与餐饮服务相关的工作（包括工作日及节假日因工用餐）。</w:t>
      </w:r>
      <w:r>
        <w:rPr>
          <w:rFonts w:hint="eastAsia" w:ascii="宋体" w:hAnsi="宋体" w:cs="宋体"/>
          <w:b w:val="0"/>
          <w:bCs/>
          <w:szCs w:val="21"/>
          <w:highlight w:val="none"/>
          <w:lang w:bidi="ar"/>
        </w:rPr>
        <w:t>上述事项产生的费用包含在本次投标报价中。</w:t>
      </w:r>
    </w:p>
    <w:p w14:paraId="1B81A1D5">
      <w:pPr>
        <w:adjustRightInd w:val="0"/>
        <w:spacing w:line="360" w:lineRule="auto"/>
        <w:ind w:firstLine="420" w:firstLineChars="200"/>
        <w:rPr>
          <w:rFonts w:hint="eastAsia" w:ascii="宋体" w:hAnsi="宋体" w:cs="宋体"/>
          <w:szCs w:val="21"/>
          <w:lang w:bidi="ar"/>
        </w:rPr>
      </w:pPr>
      <w:r>
        <w:rPr>
          <w:rFonts w:hint="eastAsia" w:ascii="宋体" w:hAnsi="宋体" w:cs="宋体"/>
          <w:b w:val="0"/>
          <w:bCs/>
          <w:szCs w:val="21"/>
          <w:lang w:bidi="ar"/>
        </w:rPr>
        <w:t>2.食材采购模式</w:t>
      </w:r>
      <w:r>
        <w:rPr>
          <w:rFonts w:hint="eastAsia" w:ascii="宋体" w:hAnsi="宋体" w:cs="宋体"/>
          <w:szCs w:val="21"/>
          <w:lang w:bidi="ar"/>
        </w:rPr>
        <w:t>为</w:t>
      </w:r>
      <w:r>
        <w:rPr>
          <w:rFonts w:hint="eastAsia" w:ascii="宋体" w:hAnsi="宋体" w:cs="宋体"/>
          <w:szCs w:val="21"/>
          <w:lang w:val="en-US" w:eastAsia="zh-CN" w:bidi="ar"/>
        </w:rPr>
        <w:t>招标人采购或</w:t>
      </w:r>
      <w:r>
        <w:rPr>
          <w:rFonts w:hint="eastAsia" w:ascii="宋体" w:hAnsi="宋体" w:cs="宋体"/>
          <w:szCs w:val="21"/>
          <w:lang w:bidi="ar"/>
        </w:rPr>
        <w:t>委托</w:t>
      </w:r>
      <w:r>
        <w:rPr>
          <w:rFonts w:hint="eastAsia" w:ascii="宋体" w:hAnsi="宋体" w:cs="宋体"/>
          <w:szCs w:val="21"/>
          <w:lang w:val="en-US" w:eastAsia="zh-CN" w:bidi="ar"/>
        </w:rPr>
        <w:t>投标人</w:t>
      </w:r>
      <w:r>
        <w:rPr>
          <w:rFonts w:hint="eastAsia" w:ascii="宋体" w:hAnsi="宋体" w:cs="宋体"/>
          <w:szCs w:val="21"/>
          <w:lang w:bidi="ar"/>
        </w:rPr>
        <w:t>采购</w:t>
      </w:r>
      <w:r>
        <w:rPr>
          <w:rFonts w:hint="eastAsia" w:ascii="宋体" w:hAnsi="宋体" w:cs="宋体"/>
          <w:szCs w:val="21"/>
          <w:lang w:eastAsia="zh-CN" w:bidi="ar"/>
        </w:rPr>
        <w:t>。</w:t>
      </w:r>
      <w:r>
        <w:rPr>
          <w:rFonts w:hint="eastAsia" w:ascii="宋体" w:hAnsi="宋体" w:cs="宋体"/>
          <w:szCs w:val="21"/>
          <w:lang w:val="en-US" w:eastAsia="zh-CN" w:bidi="ar"/>
        </w:rPr>
        <w:t>若委托投标人采购，</w:t>
      </w:r>
      <w:r>
        <w:rPr>
          <w:rFonts w:hint="eastAsia" w:ascii="宋体" w:hAnsi="宋体" w:cs="宋体"/>
          <w:szCs w:val="21"/>
          <w:lang w:bidi="ar"/>
        </w:rPr>
        <w:t>中标服务商</w:t>
      </w:r>
      <w:r>
        <w:rPr>
          <w:rFonts w:hint="eastAsia" w:ascii="宋体" w:hAnsi="宋体" w:cs="宋体"/>
          <w:szCs w:val="21"/>
          <w:lang w:val="en-US" w:eastAsia="zh-CN" w:bidi="ar"/>
        </w:rPr>
        <w:t>需</w:t>
      </w:r>
      <w:r>
        <w:rPr>
          <w:rFonts w:hint="eastAsia" w:ascii="宋体" w:hAnsi="宋体" w:cs="宋体"/>
          <w:szCs w:val="21"/>
          <w:lang w:bidi="ar"/>
        </w:rPr>
        <w:t>通过正规渠道采购合格新鲜食材，负责食材验收、农药残留抽检等，并按约定方式支付食材费用据实结算。</w:t>
      </w:r>
    </w:p>
    <w:p w14:paraId="519EE3F2">
      <w:pPr>
        <w:adjustRightInd w:val="0"/>
        <w:spacing w:line="360" w:lineRule="auto"/>
        <w:ind w:firstLine="420" w:firstLineChars="200"/>
        <w:rPr>
          <w:rFonts w:hint="default" w:ascii="宋体" w:hAnsi="宋体" w:eastAsia="宋体" w:cs="宋体"/>
          <w:szCs w:val="21"/>
          <w:lang w:val="en-US" w:eastAsia="zh-CN" w:bidi="ar"/>
        </w:rPr>
      </w:pPr>
      <w:r>
        <w:rPr>
          <w:rFonts w:hint="eastAsia" w:ascii="宋体" w:hAnsi="宋体" w:cs="宋体"/>
          <w:szCs w:val="21"/>
          <w:lang w:val="en-US" w:eastAsia="zh-CN" w:bidi="ar"/>
        </w:rPr>
        <w:t>3.</w:t>
      </w:r>
      <w:r>
        <w:rPr>
          <w:rFonts w:hint="eastAsia" w:ascii="宋体" w:hAnsi="宋体" w:cs="宋体"/>
          <w:b w:val="0"/>
          <w:bCs/>
          <w:szCs w:val="21"/>
          <w:lang w:bidi="ar"/>
        </w:rPr>
        <w:t>本项目</w:t>
      </w:r>
      <w:r>
        <w:rPr>
          <w:rFonts w:hint="eastAsia" w:ascii="宋体" w:hAnsi="宋体" w:cs="宋体"/>
          <w:b w:val="0"/>
          <w:bCs/>
          <w:szCs w:val="21"/>
          <w:lang w:val="en-US" w:eastAsia="zh-CN" w:bidi="ar"/>
        </w:rPr>
        <w:t>所涉及</w:t>
      </w:r>
      <w:r>
        <w:rPr>
          <w:rFonts w:hint="eastAsia" w:ascii="宋体" w:hAnsi="宋体" w:cs="宋体"/>
          <w:b w:val="0"/>
          <w:bCs/>
          <w:szCs w:val="21"/>
          <w:lang w:bidi="ar"/>
        </w:rPr>
        <w:t>厨具设备的保养维护和烟道清洗；餐具清洗消毒；食堂和操作间相关区域内的卫生保洁、垃圾清运、灭鼠灭蝇灭蟑、防火防盗、安全管理、客户咨询投诉处理和回访</w:t>
      </w:r>
      <w:r>
        <w:rPr>
          <w:rFonts w:hint="eastAsia" w:ascii="宋体" w:hAnsi="宋体" w:cs="宋体"/>
          <w:b w:val="0"/>
          <w:bCs/>
          <w:szCs w:val="21"/>
          <w:lang w:val="en-US" w:eastAsia="zh-CN" w:bidi="ar"/>
        </w:rPr>
        <w:t>等</w:t>
      </w:r>
      <w:r>
        <w:rPr>
          <w:rFonts w:hint="eastAsia" w:ascii="宋体" w:hAnsi="宋体" w:cs="宋体"/>
          <w:b w:val="0"/>
          <w:bCs/>
          <w:szCs w:val="21"/>
          <w:lang w:bidi="ar"/>
        </w:rPr>
        <w:t>工作</w:t>
      </w:r>
      <w:r>
        <w:rPr>
          <w:rFonts w:hint="eastAsia" w:ascii="宋体" w:hAnsi="宋体" w:cs="宋体"/>
          <w:b w:val="0"/>
          <w:bCs/>
          <w:szCs w:val="21"/>
          <w:lang w:val="en-US" w:eastAsia="zh-CN" w:bidi="ar"/>
        </w:rPr>
        <w:t>由招标人负责。</w:t>
      </w:r>
    </w:p>
    <w:p w14:paraId="7312B581">
      <w:pPr>
        <w:tabs>
          <w:tab w:val="left" w:pos="992"/>
        </w:tabs>
        <w:adjustRightInd w:val="0"/>
        <w:spacing w:line="360" w:lineRule="auto"/>
        <w:ind w:firstLine="422" w:firstLineChars="200"/>
        <w:rPr>
          <w:rFonts w:hint="eastAsia" w:ascii="宋体" w:hAnsi="宋体" w:cs="宋体"/>
          <w:b/>
          <w:szCs w:val="21"/>
        </w:rPr>
      </w:pPr>
      <w:r>
        <w:rPr>
          <w:rFonts w:hint="eastAsia" w:ascii="宋体" w:hAnsi="宋体" w:cs="宋体"/>
          <w:b/>
          <w:szCs w:val="21"/>
          <w:lang w:bidi="ar"/>
        </w:rPr>
        <w:t>3.2</w:t>
      </w:r>
      <w:bookmarkStart w:id="34" w:name="_Hlk117852096"/>
      <w:r>
        <w:rPr>
          <w:rFonts w:hint="eastAsia" w:ascii="宋体" w:hAnsi="宋体" w:cs="宋体"/>
          <w:b/>
          <w:szCs w:val="21"/>
          <w:lang w:bidi="ar"/>
        </w:rPr>
        <w:t>项目内容及人员要求</w:t>
      </w:r>
      <w:bookmarkEnd w:id="34"/>
    </w:p>
    <w:p w14:paraId="5A29AC6E">
      <w:pPr>
        <w:pStyle w:val="24"/>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420" w:firstLineChars="200"/>
        <w:contextualSpacing/>
        <w:jc w:val="both"/>
        <w:textAlignment w:val="auto"/>
        <w:rPr>
          <w:rFonts w:hint="eastAsia"/>
          <w:sz w:val="21"/>
          <w:szCs w:val="21"/>
        </w:rPr>
      </w:pPr>
      <w:r>
        <w:rPr>
          <w:rFonts w:hint="eastAsia"/>
          <w:sz w:val="21"/>
          <w:szCs w:val="21"/>
        </w:rPr>
        <w:t>3.2.1</w:t>
      </w:r>
      <w:bookmarkStart w:id="35" w:name="_Hlk117852176"/>
      <w:r>
        <w:rPr>
          <w:rFonts w:hint="eastAsia"/>
          <w:sz w:val="21"/>
          <w:szCs w:val="21"/>
          <w:lang w:val="en-US" w:eastAsia="zh-CN"/>
        </w:rPr>
        <w:t>服务团队年龄要求：</w:t>
      </w:r>
      <w:r>
        <w:rPr>
          <w:rFonts w:hint="eastAsia"/>
          <w:sz w:val="21"/>
          <w:szCs w:val="21"/>
        </w:rPr>
        <w:t>包括项目经理（45岁以下）、厨师长（兼宴会主厨，50岁以下）、男不超过60岁，女不超过58岁，其中50%的服务员年龄不得超过35岁，服务团队平均年龄不超过45岁。投标人需要具有应急管理能力，应急人员需在30分钟内到达。</w:t>
      </w:r>
      <w:bookmarkEnd w:id="35"/>
    </w:p>
    <w:p w14:paraId="31FEF0B1">
      <w:pPr>
        <w:tabs>
          <w:tab w:val="left" w:pos="425"/>
        </w:tabs>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3.2.</w:t>
      </w:r>
      <w:r>
        <w:rPr>
          <w:rFonts w:hint="eastAsia" w:ascii="宋体" w:hAnsi="宋体" w:cs="宋体"/>
          <w:szCs w:val="21"/>
          <w:lang w:val="en-US" w:eastAsia="zh-CN" w:bidi="ar"/>
        </w:rPr>
        <w:t>2</w:t>
      </w:r>
      <w:r>
        <w:rPr>
          <w:rFonts w:hint="eastAsia" w:ascii="宋体" w:hAnsi="宋体" w:cs="宋体"/>
          <w:bCs/>
          <w:szCs w:val="21"/>
          <w:lang w:bidi="ar"/>
        </w:rPr>
        <w:t>中标服务商</w:t>
      </w:r>
      <w:r>
        <w:rPr>
          <w:rFonts w:hint="eastAsia" w:ascii="宋体" w:hAnsi="宋体" w:cs="宋体"/>
          <w:szCs w:val="21"/>
          <w:lang w:bidi="ar"/>
        </w:rPr>
        <w:t>应在每周四前提供下周食谱供招标人审阅，按照营养、口味搭配的供餐理念科学合理安排食谱，招标人如有不同意见时</w:t>
      </w:r>
      <w:r>
        <w:rPr>
          <w:rFonts w:hint="eastAsia"/>
          <w:szCs w:val="21"/>
        </w:rPr>
        <w:t>投标人</w:t>
      </w:r>
      <w:r>
        <w:rPr>
          <w:rFonts w:hint="eastAsia" w:ascii="宋体" w:hAnsi="宋体" w:cs="宋体"/>
          <w:szCs w:val="21"/>
          <w:lang w:bidi="ar"/>
        </w:rPr>
        <w:t>要及时更改，菜品要求每周80%不重样。</w:t>
      </w:r>
      <w:r>
        <w:rPr>
          <w:rFonts w:hint="eastAsia" w:ascii="宋体" w:hAnsi="宋体" w:cs="宋体"/>
          <w:bCs/>
          <w:szCs w:val="21"/>
          <w:lang w:bidi="ar"/>
        </w:rPr>
        <w:t>中标服务商</w:t>
      </w:r>
      <w:r>
        <w:rPr>
          <w:rFonts w:hint="eastAsia" w:ascii="宋体" w:hAnsi="宋体" w:cs="宋体"/>
          <w:szCs w:val="21"/>
          <w:lang w:bidi="ar"/>
        </w:rPr>
        <w:t>每年应组织不少于12次的美食节活动（平均每月一次），传统民俗节日应安排提供特色民族食品及特色服务，提供免费的时令小吃，悬挂节日饰品，让客人感受到温馨、和谐的氛围。供餐过程中，如遇特殊原因确需菜品调整的，</w:t>
      </w:r>
      <w:r>
        <w:rPr>
          <w:rFonts w:hint="eastAsia" w:ascii="宋体" w:hAnsi="宋体" w:cs="宋体"/>
          <w:bCs/>
          <w:szCs w:val="21"/>
          <w:lang w:bidi="ar"/>
        </w:rPr>
        <w:t>中标服务商</w:t>
      </w:r>
      <w:r>
        <w:rPr>
          <w:rFonts w:hint="eastAsia" w:ascii="宋体" w:hAnsi="宋体" w:cs="宋体"/>
          <w:szCs w:val="21"/>
          <w:lang w:bidi="ar"/>
        </w:rPr>
        <w:t>须至少提前一天向招标人提出申请，并说明更改理由，通过后方可进行更改。</w:t>
      </w:r>
    </w:p>
    <w:p w14:paraId="7636E3D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3.2.</w:t>
      </w:r>
      <w:r>
        <w:rPr>
          <w:rFonts w:hint="eastAsia" w:ascii="宋体" w:hAnsi="宋体" w:cs="宋体"/>
          <w:szCs w:val="21"/>
          <w:lang w:val="en-US" w:eastAsia="zh-CN" w:bidi="ar"/>
        </w:rPr>
        <w:t>3</w:t>
      </w:r>
      <w:r>
        <w:rPr>
          <w:rFonts w:hint="eastAsia" w:ascii="宋体" w:hAnsi="宋体" w:cs="宋体"/>
          <w:szCs w:val="21"/>
          <w:lang w:bidi="ar"/>
        </w:rPr>
        <w:t>主荤菜是以肉类或水产类原材料为主（主料比例不低于80%，辅料比例不高于20%），半荤菜是含有肉类或水产类原材料的菜品（肉或水产品原料比例不低于30%），素菜是不含肉类或水产类原材料的菜品。</w:t>
      </w:r>
    </w:p>
    <w:p w14:paraId="515551FD">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3.2.</w:t>
      </w:r>
      <w:r>
        <w:rPr>
          <w:rFonts w:hint="eastAsia" w:ascii="宋体" w:hAnsi="宋体" w:cs="宋体"/>
          <w:szCs w:val="21"/>
          <w:lang w:val="en-US" w:eastAsia="zh-CN" w:bidi="ar"/>
        </w:rPr>
        <w:t>4</w:t>
      </w:r>
      <w:r>
        <w:rPr>
          <w:rFonts w:hint="eastAsia" w:ascii="宋体" w:hAnsi="宋体" w:cs="宋体"/>
          <w:bCs/>
          <w:szCs w:val="21"/>
          <w:lang w:bidi="ar"/>
        </w:rPr>
        <w:t>中标服务商</w:t>
      </w:r>
      <w:r>
        <w:rPr>
          <w:rFonts w:hint="eastAsia" w:ascii="宋体" w:hAnsi="宋体" w:cs="宋体"/>
          <w:szCs w:val="21"/>
          <w:lang w:bidi="ar"/>
        </w:rPr>
        <w:t>应制定出菜时间表，饭菜现做现吃、少炒勤炒，保证菜品色、香、味和温度。食堂三餐均应提供各种风味小吃及部分西餐品种。</w:t>
      </w:r>
    </w:p>
    <w:p w14:paraId="6399C82D">
      <w:pPr>
        <w:tabs>
          <w:tab w:val="left" w:pos="425"/>
        </w:tabs>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3.2.</w:t>
      </w:r>
      <w:r>
        <w:rPr>
          <w:rFonts w:hint="eastAsia" w:ascii="宋体" w:hAnsi="宋体" w:cs="宋体"/>
          <w:szCs w:val="21"/>
          <w:lang w:val="en-US" w:eastAsia="zh-CN" w:bidi="ar"/>
        </w:rPr>
        <w:t>5</w:t>
      </w:r>
      <w:r>
        <w:rPr>
          <w:rFonts w:hint="eastAsia" w:ascii="宋体" w:hAnsi="宋体" w:cs="宋体"/>
          <w:bCs/>
          <w:szCs w:val="21"/>
          <w:lang w:bidi="ar"/>
        </w:rPr>
        <w:t>中标服务商</w:t>
      </w:r>
      <w:r>
        <w:rPr>
          <w:rFonts w:hint="eastAsia" w:ascii="宋体" w:hAnsi="宋体" w:cs="宋体"/>
          <w:szCs w:val="21"/>
          <w:lang w:bidi="ar"/>
        </w:rPr>
        <w:t>综合考虑食品营养健康，每天每人摄入食盐不超过5克，烹调油25克-30克，糖不超过25克。</w:t>
      </w:r>
    </w:p>
    <w:p w14:paraId="63B733E1">
      <w:pPr>
        <w:pStyle w:val="74"/>
        <w:widowControl/>
        <w:adjustRightInd w:val="0"/>
        <w:spacing w:line="360" w:lineRule="auto"/>
        <w:ind w:left="0" w:firstLine="420" w:firstLineChars="200"/>
        <w:rPr>
          <w:rFonts w:hint="eastAsia" w:ascii="宋体" w:hAnsi="宋体" w:cs="宋体"/>
          <w:szCs w:val="21"/>
        </w:rPr>
      </w:pPr>
      <w:r>
        <w:rPr>
          <w:rFonts w:hint="eastAsia" w:ascii="宋体" w:hAnsi="宋体" w:cs="宋体"/>
          <w:szCs w:val="21"/>
        </w:rPr>
        <w:t>3.2.</w:t>
      </w:r>
      <w:r>
        <w:rPr>
          <w:rFonts w:hint="eastAsia" w:ascii="宋体" w:hAnsi="宋体" w:cs="宋体"/>
          <w:szCs w:val="21"/>
          <w:lang w:val="en-US" w:eastAsia="zh-CN"/>
        </w:rPr>
        <w:t>6</w:t>
      </w:r>
      <w:r>
        <w:rPr>
          <w:rFonts w:hint="eastAsia" w:ascii="宋体" w:hAnsi="宋体" w:cs="宋体"/>
          <w:szCs w:val="21"/>
        </w:rPr>
        <w:t>服务要求：</w:t>
      </w:r>
    </w:p>
    <w:p w14:paraId="47B76B72">
      <w:pPr>
        <w:adjustRightInd w:val="0"/>
        <w:spacing w:line="360" w:lineRule="auto"/>
        <w:ind w:firstLine="420" w:firstLineChars="200"/>
        <w:rPr>
          <w:rFonts w:hint="eastAsia" w:ascii="宋体" w:hAnsi="宋体" w:cs="宋体"/>
          <w:szCs w:val="21"/>
          <w:lang w:val="zh-CN"/>
        </w:rPr>
      </w:pPr>
      <w:bookmarkStart w:id="36" w:name="_Toc55568726"/>
      <w:bookmarkStart w:id="37" w:name="_Toc52057409"/>
      <w:r>
        <w:rPr>
          <w:rFonts w:hint="eastAsia" w:ascii="宋体" w:hAnsi="宋体" w:cs="宋体"/>
          <w:szCs w:val="21"/>
          <w:lang w:val="zh-CN" w:bidi="ar"/>
        </w:rPr>
        <w:t>（一）基本服务内容</w:t>
      </w:r>
      <w:bookmarkEnd w:id="36"/>
      <w:bookmarkEnd w:id="37"/>
    </w:p>
    <w:p w14:paraId="5F5C63DC">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bidi="ar"/>
        </w:rPr>
        <w:t>1．</w:t>
      </w:r>
      <w:r>
        <w:rPr>
          <w:rFonts w:hint="eastAsia" w:ascii="宋体" w:hAnsi="宋体" w:cs="宋体"/>
          <w:szCs w:val="21"/>
          <w:lang w:bidi="ar"/>
        </w:rPr>
        <w:t>投标人应</w:t>
      </w:r>
      <w:r>
        <w:rPr>
          <w:rFonts w:hint="eastAsia" w:ascii="宋体" w:hAnsi="宋体" w:cs="宋体"/>
          <w:szCs w:val="21"/>
          <w:lang w:val="zh-CN" w:bidi="ar"/>
        </w:rPr>
        <w:t>严格落实《食品安全法》的相关规定，保障就餐人员食品安全，严格遵守国家法律法规及招标人的管理规章制度，管理规范、合规。</w:t>
      </w:r>
    </w:p>
    <w:p w14:paraId="11E1BFBB">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bidi="ar"/>
        </w:rPr>
        <w:t>2．按要求提供每日的餐饮供应，负责每日食谱的制定、食品制作。</w:t>
      </w:r>
    </w:p>
    <w:p w14:paraId="2B09046D">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3</w:t>
      </w:r>
      <w:r>
        <w:rPr>
          <w:rFonts w:hint="eastAsia" w:ascii="宋体" w:hAnsi="宋体" w:cs="宋体"/>
          <w:szCs w:val="21"/>
          <w:lang w:val="zh-CN" w:bidi="ar"/>
        </w:rPr>
        <w:t>．负责各种工作餐及临时接待餐的工作任务，并负责特色小吃制作工作。</w:t>
      </w:r>
    </w:p>
    <w:p w14:paraId="1BCC8BD1">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4</w:t>
      </w:r>
      <w:r>
        <w:rPr>
          <w:rFonts w:hint="eastAsia" w:ascii="宋体" w:hAnsi="宋体" w:cs="宋体"/>
          <w:szCs w:val="21"/>
          <w:lang w:val="zh-CN" w:bidi="ar"/>
        </w:rPr>
        <w:t>．遵守招标人的工作制度和工作需求，负责各岗位、各区域的人员调配和管理工作。</w:t>
      </w:r>
    </w:p>
    <w:p w14:paraId="1C24244C">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5</w:t>
      </w:r>
      <w:r>
        <w:rPr>
          <w:rFonts w:hint="eastAsia" w:ascii="宋体" w:hAnsi="宋体" w:cs="宋体"/>
          <w:szCs w:val="21"/>
          <w:lang w:val="zh-CN" w:bidi="ar"/>
        </w:rPr>
        <w:t>．负责食堂各种加工机械、食品冷藏和食品储藏设备的保养维护工作，负责各种厨具、餐具的洗刷消毒保养维护工作。</w:t>
      </w:r>
    </w:p>
    <w:p w14:paraId="186915D2">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6</w:t>
      </w:r>
      <w:r>
        <w:rPr>
          <w:rFonts w:hint="eastAsia" w:ascii="宋体" w:hAnsi="宋体" w:cs="宋体"/>
          <w:szCs w:val="21"/>
          <w:lang w:val="zh-CN" w:bidi="ar"/>
        </w:rPr>
        <w:t>．负责对食堂各种加工区域、就餐区域和其他区域的食品安全、消防安全、用电安全、生产安全等各项安全管理工作，认真学习火、电、气、油的安全使用法规，杜绝各种隐患的发生。</w:t>
      </w:r>
    </w:p>
    <w:p w14:paraId="3968EFCA">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7</w:t>
      </w:r>
      <w:r>
        <w:rPr>
          <w:rFonts w:hint="eastAsia" w:ascii="宋体" w:hAnsi="宋体" w:cs="宋体"/>
          <w:szCs w:val="21"/>
          <w:lang w:val="zh-CN" w:bidi="ar"/>
        </w:rPr>
        <w:t>．对餐饮重点部位，如库房、后厨等，要制定管理制度，有专人专管，加强日常看护和保养，规范出入库管理。</w:t>
      </w:r>
    </w:p>
    <w:p w14:paraId="4F9FA975">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8</w:t>
      </w:r>
      <w:r>
        <w:rPr>
          <w:rFonts w:hint="eastAsia" w:ascii="宋体" w:hAnsi="宋体" w:cs="宋体"/>
          <w:szCs w:val="21"/>
          <w:lang w:val="zh-CN" w:bidi="ar"/>
        </w:rPr>
        <w:t>．要积极开展各项工作，定期组织各种业务培训，加强日常管理，勇于创新、多措并举，提升餐饮服务保障水平。</w:t>
      </w:r>
    </w:p>
    <w:p w14:paraId="0830E94D">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9</w:t>
      </w:r>
      <w:r>
        <w:rPr>
          <w:rFonts w:hint="eastAsia" w:ascii="宋体" w:hAnsi="宋体" w:cs="宋体"/>
          <w:szCs w:val="21"/>
          <w:lang w:val="zh-CN" w:bidi="ar"/>
        </w:rPr>
        <w:t>．严格执行招标人务工人员的相关规定，爱护公物，遵守规定，确保人身和财产安全。</w:t>
      </w:r>
    </w:p>
    <w:p w14:paraId="31B81891">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10</w:t>
      </w:r>
      <w:r>
        <w:rPr>
          <w:rFonts w:hint="eastAsia" w:ascii="宋体" w:hAnsi="宋体" w:cs="宋体"/>
          <w:szCs w:val="21"/>
          <w:lang w:val="zh-CN" w:bidi="ar"/>
        </w:rPr>
        <w:t>．由</w:t>
      </w:r>
      <w:r>
        <w:rPr>
          <w:rFonts w:hint="eastAsia" w:ascii="宋体" w:hAnsi="宋体" w:cs="宋体"/>
          <w:bCs/>
          <w:szCs w:val="21"/>
          <w:lang w:bidi="ar"/>
        </w:rPr>
        <w:t>中标服务商</w:t>
      </w:r>
      <w:r>
        <w:rPr>
          <w:rFonts w:hint="eastAsia" w:ascii="宋体" w:hAnsi="宋体" w:cs="宋体"/>
          <w:szCs w:val="21"/>
          <w:lang w:val="zh-CN" w:bidi="ar"/>
        </w:rPr>
        <w:t>负责《食品经营许可证》的办理和延期。</w:t>
      </w:r>
    </w:p>
    <w:p w14:paraId="7FEF812E">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en-US" w:eastAsia="zh-CN" w:bidi="ar"/>
        </w:rPr>
        <w:t>11</w:t>
      </w:r>
      <w:r>
        <w:rPr>
          <w:rFonts w:hint="eastAsia" w:ascii="宋体" w:hAnsi="宋体" w:cs="宋体"/>
          <w:szCs w:val="21"/>
          <w:lang w:val="zh-CN" w:bidi="ar"/>
        </w:rPr>
        <w:t>．</w:t>
      </w:r>
      <w:r>
        <w:rPr>
          <w:rFonts w:hint="eastAsia" w:ascii="宋体" w:hAnsi="宋体" w:cs="宋体"/>
          <w:bCs/>
          <w:szCs w:val="21"/>
          <w:lang w:bidi="ar"/>
        </w:rPr>
        <w:t>中标服务商</w:t>
      </w:r>
      <w:r>
        <w:rPr>
          <w:rFonts w:hint="eastAsia" w:ascii="宋体" w:hAnsi="宋体" w:cs="宋体"/>
          <w:szCs w:val="21"/>
          <w:lang w:val="zh-CN" w:bidi="ar"/>
        </w:rPr>
        <w:t>应主动配合当地主管部门（街道、食药所等）检查，如有不合格应及时整改，造成的不良影响由</w:t>
      </w:r>
      <w:r>
        <w:rPr>
          <w:rFonts w:hint="eastAsia" w:ascii="宋体" w:hAnsi="宋体" w:cs="宋体"/>
          <w:bCs/>
          <w:szCs w:val="21"/>
          <w:lang w:bidi="ar"/>
        </w:rPr>
        <w:t>中标服务商</w:t>
      </w:r>
      <w:r>
        <w:rPr>
          <w:rFonts w:hint="eastAsia" w:ascii="宋体" w:hAnsi="宋体" w:cs="宋体"/>
          <w:szCs w:val="21"/>
          <w:lang w:val="zh-CN" w:bidi="ar"/>
        </w:rPr>
        <w:t>承担。</w:t>
      </w:r>
    </w:p>
    <w:p w14:paraId="619C2A10">
      <w:pPr>
        <w:adjustRightInd w:val="0"/>
        <w:spacing w:line="360" w:lineRule="auto"/>
        <w:ind w:firstLine="420" w:firstLineChars="200"/>
        <w:rPr>
          <w:rFonts w:hint="eastAsia" w:ascii="宋体" w:hAnsi="宋体" w:cs="宋体"/>
          <w:szCs w:val="21"/>
          <w:lang w:val="zh-CN"/>
        </w:rPr>
      </w:pPr>
      <w:bookmarkStart w:id="38" w:name="_Toc55568728"/>
      <w:bookmarkStart w:id="39" w:name="_Toc52057411"/>
      <w:r>
        <w:rPr>
          <w:rFonts w:hint="eastAsia" w:ascii="宋体" w:hAnsi="宋体" w:cs="宋体"/>
          <w:szCs w:val="21"/>
          <w:lang w:val="zh-CN" w:bidi="ar"/>
        </w:rPr>
        <w:t>（二）服务质量标准</w:t>
      </w:r>
      <w:bookmarkEnd w:id="38"/>
      <w:bookmarkEnd w:id="39"/>
    </w:p>
    <w:p w14:paraId="27630C05">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bidi="ar"/>
        </w:rPr>
        <w:t>为全体人员提供安全、营养、均衡、健康、快捷、舒适的餐饮服务：</w:t>
      </w:r>
    </w:p>
    <w:p w14:paraId="0A3CE77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1．食源性疾患发生率为零；</w:t>
      </w:r>
    </w:p>
    <w:p w14:paraId="735FBF36">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2．食谱执行率大于95%；</w:t>
      </w:r>
    </w:p>
    <w:p w14:paraId="40BD0F7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3．食品加工服务正点率100%；</w:t>
      </w:r>
    </w:p>
    <w:p w14:paraId="7F6AA62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4．厨具、餐具洗刷洁净率100%；</w:t>
      </w:r>
    </w:p>
    <w:p w14:paraId="42EB6D2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5．餐具消毒检测合格率100%；</w:t>
      </w:r>
    </w:p>
    <w:p w14:paraId="1C544C3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6．厨具、加工机械、食品冷藏和食品储藏设备的保养维护率100%；</w:t>
      </w:r>
    </w:p>
    <w:p w14:paraId="0206E22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7．设备运行完好率达到98%以上；</w:t>
      </w:r>
    </w:p>
    <w:p w14:paraId="4F01D41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8．人员持证上岗率（健康证）100%；</w:t>
      </w:r>
    </w:p>
    <w:p w14:paraId="4BE61B6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9．人员上岗培训率100%；</w:t>
      </w:r>
    </w:p>
    <w:p w14:paraId="6044D2C1">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10．厨师必须具有厨师证书或相应资格；</w:t>
      </w:r>
    </w:p>
    <w:p w14:paraId="31192540">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11．就餐人员对餐饮服务的满意率在80%以上；</w:t>
      </w:r>
    </w:p>
    <w:p w14:paraId="02AAF87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12．供应商进场时须提供所有员工健康证原件、身份证复印件、厨师证书复印件；</w:t>
      </w:r>
    </w:p>
    <w:p w14:paraId="012D2295">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13．卫生及其他要求：</w:t>
      </w:r>
    </w:p>
    <w:p w14:paraId="2EE7A027">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（1）</w:t>
      </w:r>
      <w:r>
        <w:rPr>
          <w:rFonts w:hint="eastAsia"/>
          <w:kern w:val="2"/>
          <w:sz w:val="21"/>
          <w:szCs w:val="21"/>
          <w:lang w:bidi="ar"/>
        </w:rPr>
        <w:t>中标服务商</w:t>
      </w:r>
      <w:r>
        <w:rPr>
          <w:rFonts w:hint="eastAsia"/>
          <w:sz w:val="21"/>
          <w:szCs w:val="21"/>
        </w:rPr>
        <w:t>须严格按《中华人民共和国食品安全法》的规定，建立健全卫生管理制度，坚决杜绝食物中毒事件的发生；</w:t>
      </w:r>
    </w:p>
    <w:p w14:paraId="4CD7447B">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（2）要求制作各种食品，注重色、香、味、美，做到饭熟菜香、新鲜可口，营养搭配科学合理；</w:t>
      </w:r>
    </w:p>
    <w:p w14:paraId="56FF8A95">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（3）食物出品温度要求：饭菜的温度不低于40摄氏度，汤的温度不低于60摄氏度；</w:t>
      </w:r>
    </w:p>
    <w:p w14:paraId="31E77673">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（4）餐前先通风，保持空气清新、无异味；</w:t>
      </w:r>
    </w:p>
    <w:p w14:paraId="7635FA76">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（5）室内温度根据实际天气情况调整，保持室内合适温度，一般保持在18-26℃左右；</w:t>
      </w:r>
    </w:p>
    <w:p w14:paraId="2EF57A16">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（6）</w:t>
      </w:r>
      <w:r>
        <w:rPr>
          <w:rFonts w:hint="eastAsia"/>
          <w:kern w:val="2"/>
          <w:sz w:val="21"/>
          <w:szCs w:val="21"/>
          <w:lang w:bidi="ar"/>
        </w:rPr>
        <w:t>中标服务商</w:t>
      </w:r>
      <w:r>
        <w:rPr>
          <w:rFonts w:hint="eastAsia"/>
          <w:sz w:val="21"/>
          <w:szCs w:val="21"/>
        </w:rPr>
        <w:t>须自行负责统一配发餐饮服务人员的工作服、帽子、口罩、手套等用品；</w:t>
      </w:r>
    </w:p>
    <w:p w14:paraId="33D13E72">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（7）</w:t>
      </w:r>
      <w:r>
        <w:rPr>
          <w:rFonts w:hint="eastAsia"/>
          <w:kern w:val="2"/>
          <w:sz w:val="21"/>
          <w:szCs w:val="21"/>
          <w:lang w:bidi="ar"/>
        </w:rPr>
        <w:t>中标服务商</w:t>
      </w:r>
      <w:r>
        <w:rPr>
          <w:rFonts w:hint="eastAsia"/>
          <w:sz w:val="21"/>
          <w:szCs w:val="21"/>
        </w:rPr>
        <w:t>负责食堂、厨房的卫生消毒工作，负责用餐所需餐具、用具的洗涤、消毒，须符合国家餐饮安全标准；</w:t>
      </w:r>
    </w:p>
    <w:p w14:paraId="2D1D65F1">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（8）</w:t>
      </w:r>
      <w:r>
        <w:rPr>
          <w:rFonts w:hint="eastAsia"/>
          <w:kern w:val="2"/>
          <w:sz w:val="21"/>
          <w:szCs w:val="21"/>
          <w:lang w:bidi="ar"/>
        </w:rPr>
        <w:t>中标服务商</w:t>
      </w:r>
      <w:r>
        <w:rPr>
          <w:rFonts w:hint="eastAsia"/>
          <w:sz w:val="21"/>
          <w:szCs w:val="21"/>
        </w:rPr>
        <w:t>须严格进行餐厨垃圾分类并自行处理，按招标人指定的通道运送，并保证在运输过程中保持地面清洁。</w:t>
      </w:r>
    </w:p>
    <w:p w14:paraId="22FDAD4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14.节约型机关创建有关要求：</w:t>
      </w:r>
    </w:p>
    <w:p w14:paraId="0410B9B7">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14.1节约用水方面</w:t>
      </w:r>
    </w:p>
    <w:p w14:paraId="3C8B041E">
      <w:pPr>
        <w:pStyle w:val="24"/>
        <w:widowControl w:val="0"/>
        <w:adjustRightInd w:val="0"/>
        <w:spacing w:before="0" w:beforeAutospacing="0" w:after="0" w:afterAutospacing="0" w:line="360" w:lineRule="auto"/>
        <w:ind w:firstLine="420" w:firstLineChars="200"/>
        <w:jc w:val="both"/>
        <w:rPr>
          <w:rFonts w:hint="eastAsia"/>
          <w:sz w:val="21"/>
          <w:szCs w:val="21"/>
        </w:rPr>
      </w:pPr>
      <w:r>
        <w:rPr>
          <w:rFonts w:hint="eastAsia"/>
          <w:kern w:val="2"/>
          <w:sz w:val="21"/>
          <w:szCs w:val="21"/>
          <w:lang w:bidi="ar"/>
        </w:rPr>
        <w:t>（1）餐线加热台加换水，以“节约用水”为目标，加水时不超标尺，在标准水位线。</w:t>
      </w:r>
    </w:p>
    <w:p w14:paraId="41955B1D">
      <w:pPr>
        <w:pStyle w:val="24"/>
        <w:widowControl w:val="0"/>
        <w:adjustRightInd w:val="0"/>
        <w:spacing w:before="0" w:beforeAutospacing="0" w:after="0" w:afterAutospacing="0" w:line="360" w:lineRule="auto"/>
        <w:ind w:firstLine="420" w:firstLineChars="200"/>
        <w:jc w:val="both"/>
        <w:rPr>
          <w:rFonts w:hint="eastAsia"/>
          <w:sz w:val="21"/>
          <w:szCs w:val="21"/>
        </w:rPr>
      </w:pPr>
      <w:r>
        <w:rPr>
          <w:rFonts w:hint="eastAsia"/>
          <w:kern w:val="2"/>
          <w:sz w:val="21"/>
          <w:szCs w:val="21"/>
          <w:lang w:bidi="ar"/>
        </w:rPr>
        <w:t>（2）洗碗间根据洗碗量合理做到干净卫生、消毒用水达标，洗碗过程中注重节水，结束工作后，勤检查水龙头是否正常，有无长流水现象，避免浪费水资源，勤清洗地沟，保持清洁卫生不堆积、不费水。</w:t>
      </w:r>
    </w:p>
    <w:p w14:paraId="6AC7A5CB">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厨房每个班组由各班组长负责。炉灶班组根据食谱炒菜勤刷洗锅灶，随手开关，闭餐后，每日做好清洁卫生；面点班组肉馅盆用完即刷，面盆用水泡10分钟后再刷洗；切配班组粗加工冷冻食品时，从冻库提前取出，化冻后再清洗；清洗菜时根据不同菜品使用清水泡或盐水泡后，将杂物挑拣后再次冲洗。各岗位工作结束后，由各岗位值班人员负责查看水龙头有无异常。</w:t>
      </w:r>
    </w:p>
    <w:p w14:paraId="424C0E5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（4）值班人员每日检查。</w:t>
      </w:r>
    </w:p>
    <w:p w14:paraId="6AE51DC9">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14.2照明电器设备系统节电方面</w:t>
      </w:r>
    </w:p>
    <w:p w14:paraId="7BA99CE1">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（1）食堂根据用餐、闭餐时间，开启相应区域的灯光，餐线上根据开餐时间，开启相对应的餐线加热台和灯光，根据关闭餐线的时间，依次关闭餐线加热台灯光；食堂整体工作完成后遵循“人走灯灭”。</w:t>
      </w:r>
    </w:p>
    <w:p w14:paraId="14E69226">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（2）洗碗间根据上下班和就餐时间，开启灯光照明，“人走灯灭”；刷碗机根据工作量的要求，随用随开，不用时关闭电源；消毒机定时消毒，消毒后关闭电源。</w:t>
      </w:r>
    </w:p>
    <w:p w14:paraId="68B889D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厨房每个班组由各班组长负责。炉灶班组根据开餐时间做好餐前工作，根据炒菜时间合理使用排油烟机，炒完菜马上关掉；面点班组合理使用烤箱、醒发箱、压面机、饺子机、电饼铛、豆浆机等电器设备，不使用时应关闭电源；切配班组根据上下班时间，管理好区域内的灯光照明，做到“人走灯灭”。</w:t>
      </w:r>
    </w:p>
    <w:p w14:paraId="67B0D7D5">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（4）楼道走廊灯不全开，采取间隔亮灯，根据光照来开启和关灯，晚上值班人员检查并关闭所有可关闭的电源。</w:t>
      </w:r>
    </w:p>
    <w:p w14:paraId="3D85C680">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（5）办公室的灯光、电脑、打印机等电子设备不用时关闭电源。</w:t>
      </w:r>
    </w:p>
    <w:p w14:paraId="0FA13675">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14.3天然气节能方面</w:t>
      </w:r>
    </w:p>
    <w:p w14:paraId="6861D16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（1）天然气日常使用注意事项：安全第一，随用随点火，用完即关闭。</w:t>
      </w:r>
    </w:p>
    <w:p w14:paraId="3749A29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（2）节能：厨房炒锅、蒸箱、地灶等设备在制作完菜品、主食、汤类后，先关火再将成品进行装盒。</w:t>
      </w:r>
    </w:p>
    <w:p w14:paraId="19679911">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（3）天然气开关：每餐结束后关火，每日结束后关总闸。</w:t>
      </w:r>
    </w:p>
    <w:p w14:paraId="57847AFA">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（4）食堂需成立安全责任小组，每日负责人对食堂水、电、天然气进行安全检查、收尾检查、日常使用培训等，每日均有检查记录。</w:t>
      </w:r>
    </w:p>
    <w:p w14:paraId="279F5036">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14.4垃圾分类处理要求</w:t>
      </w:r>
    </w:p>
    <w:p w14:paraId="6388726B">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乙方负责厨房及食堂管理范围的日常保洁、卫生消毒和垃圾清理工作，不得乱倒垃圾，不得乱排废物，餐厨垃圾要做到每餐及时清理，严格执行垃圾分类投放。具体操作按照北京市印发的《生活垃圾管理条例》执行。同时，按照北京市、中央国家机关爱卫办有关垃圾分类的规定要求，做好以下工作：</w:t>
      </w:r>
    </w:p>
    <w:p w14:paraId="4454D062">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（1）在责任范围内开展生活垃圾分类知识宣传，对相关工作人员进行垃圾分类培训。</w:t>
      </w:r>
    </w:p>
    <w:p w14:paraId="3F9264AA">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（2）负责食堂区域垃圾分类收集容器的设置、使用和维护。</w:t>
      </w:r>
    </w:p>
    <w:p w14:paraId="76A9C714">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（3）负责食堂区域生活垃圾分类收集源头管理。明确不同种类生活垃圾的投放时间、地点，分类收集、贮存生活垃圾，并按时清运到垃圾房。厨余垃圾应单独装运，不得混装，清运过程中不得遗撒、滴漏。</w:t>
      </w:r>
    </w:p>
    <w:p w14:paraId="576CE862">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（4）负责厨余垃圾的日常数量统计、记录，建立管理台账，并按要求定期报送。</w:t>
      </w:r>
    </w:p>
    <w:p w14:paraId="1F167906">
      <w:pPr>
        <w:autoSpaceDE w:val="0"/>
        <w:autoSpaceDN w:val="0"/>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（5）餐盘回收处，食堂工作人员监督、劝阻食品浪费行为。</w:t>
      </w:r>
    </w:p>
    <w:p w14:paraId="32350BB0">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14.5在食堂摆放节约标识标牌，做好食品营养健康宣传、节约宣传。</w:t>
      </w:r>
    </w:p>
    <w:p w14:paraId="0A1E9F4D">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15.应急餐饮保障要求：</w:t>
      </w:r>
    </w:p>
    <w:p w14:paraId="4C8FB84E">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kern w:val="2"/>
          <w:sz w:val="21"/>
          <w:szCs w:val="21"/>
          <w:lang w:bidi="ar"/>
        </w:rPr>
        <w:t>中标服务商</w:t>
      </w:r>
      <w:r>
        <w:rPr>
          <w:rFonts w:hint="eastAsia"/>
          <w:sz w:val="21"/>
          <w:szCs w:val="21"/>
        </w:rPr>
        <w:t>应保证在遇到疫情、火灾、停电、停水等影响正常营运的情况时，采取积极的应急措施，保证向招标人员工按质量要求供餐。</w:t>
      </w:r>
    </w:p>
    <w:p w14:paraId="3126014B">
      <w:pPr>
        <w:pStyle w:val="24"/>
        <w:widowControl w:val="0"/>
        <w:adjustRightInd w:val="0"/>
        <w:spacing w:before="0" w:beforeAutospacing="0" w:after="0" w:afterAutospacing="0" w:line="360" w:lineRule="auto"/>
        <w:ind w:firstLine="422" w:firstLineChars="200"/>
        <w:jc w:val="both"/>
        <w:rPr>
          <w:rFonts w:hint="eastAsia" w:eastAsia="宋体"/>
          <w:b/>
          <w:bCs/>
          <w:sz w:val="21"/>
          <w:szCs w:val="21"/>
          <w:lang w:eastAsia="zh-CN"/>
        </w:rPr>
      </w:pPr>
      <w:r>
        <w:rPr>
          <w:rFonts w:hint="eastAsia"/>
          <w:b/>
          <w:bCs/>
          <w:kern w:val="2"/>
          <w:sz w:val="21"/>
          <w:szCs w:val="21"/>
          <w:lang w:bidi="ar"/>
        </w:rPr>
        <w:t>3.3委托采购要求</w:t>
      </w:r>
      <w:r>
        <w:rPr>
          <w:rFonts w:hint="eastAsia"/>
          <w:b/>
          <w:bCs/>
          <w:kern w:val="2"/>
          <w:sz w:val="21"/>
          <w:szCs w:val="21"/>
          <w:lang w:eastAsia="zh-CN" w:bidi="ar"/>
        </w:rPr>
        <w:t>（</w:t>
      </w:r>
      <w:r>
        <w:rPr>
          <w:rFonts w:hint="eastAsia"/>
          <w:b/>
          <w:bCs/>
          <w:kern w:val="2"/>
          <w:sz w:val="21"/>
          <w:szCs w:val="21"/>
          <w:lang w:val="en-US" w:eastAsia="zh-CN" w:bidi="ar"/>
        </w:rPr>
        <w:t>如需</w:t>
      </w:r>
      <w:r>
        <w:rPr>
          <w:rFonts w:hint="eastAsia"/>
          <w:b/>
          <w:bCs/>
          <w:kern w:val="2"/>
          <w:sz w:val="21"/>
          <w:szCs w:val="21"/>
          <w:lang w:eastAsia="zh-CN" w:bidi="ar"/>
        </w:rPr>
        <w:t>）</w:t>
      </w:r>
    </w:p>
    <w:p w14:paraId="7997CAF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3.3.1招标人将委托中标服务商代为采购食材，食材费具体以月度员工刷卡数值为准。</w:t>
      </w:r>
    </w:p>
    <w:p w14:paraId="7C94B35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3.3.2中标服务商应具备在京完整稳定的供应链体系，各类原材料品牌均使用市场一线品牌，如：北大荒（米面）、鹏程（肉类）、大红门（肉类）、三元（奶类）、正大（蛋类）、德青源（蛋类）、海天（调料类）、福临门、鲁花（油类）等。食材采购品牌和内容须经招标人审核确认，由中标服务商负责采买。</w:t>
      </w:r>
      <w:r>
        <w:rPr>
          <w:rFonts w:hint="eastAsia" w:ascii="宋体" w:hAnsi="宋体" w:cs="宋体"/>
          <w:b/>
          <w:szCs w:val="21"/>
          <w:lang w:bidi="ar"/>
        </w:rPr>
        <w:t>不得使用“三无”产品，不得使用鲍鱼鱼翅海参燕窝等高档食材，不得使用受污染的海、水产品，不得使用转基因产品，不得使用过期或临近保质期产品。</w:t>
      </w:r>
      <w:r>
        <w:rPr>
          <w:rFonts w:hint="eastAsia" w:ascii="宋体" w:hAnsi="宋体" w:cs="宋体"/>
          <w:szCs w:val="21"/>
          <w:lang w:bidi="ar"/>
        </w:rPr>
        <w:t>确保充分保证原材料的公开透明、安全可靠和源头追溯，最大程度保障食品原料的安全。中标服务商应制定执行供应商监管、原材料定价监管、菜单制定监管、采购计划量监管、原材料验收监管、出入库监管、收支核算监管等管理制度，以供招标人随时审查。</w:t>
      </w:r>
    </w:p>
    <w:p w14:paraId="69DCDF7A">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3.3.3招标人委托中标服务商负责原材料采买、食材验收、农药残留抽检等，由中标服务商无息垫付采购费用。招标人职工餐标为纯入口费用。中标服务商应提供食材成本消耗与刷卡流水收入对账单，供招标人随时审查。</w:t>
      </w:r>
    </w:p>
    <w:p w14:paraId="142E0E3B">
      <w:pPr>
        <w:tabs>
          <w:tab w:val="left" w:pos="425"/>
        </w:tabs>
        <w:adjustRightInd w:val="0"/>
        <w:spacing w:line="360" w:lineRule="auto"/>
        <w:ind w:firstLine="420" w:firstLineChars="200"/>
        <w:rPr>
          <w:rFonts w:hint="eastAsia" w:ascii="宋体" w:hAnsi="宋体" w:cs="宋体"/>
          <w:szCs w:val="21"/>
          <w:highlight w:val="none"/>
        </w:rPr>
      </w:pPr>
      <w:r>
        <w:rPr>
          <w:rFonts w:hint="eastAsia" w:ascii="宋体" w:hAnsi="宋体" w:cs="宋体"/>
          <w:szCs w:val="21"/>
          <w:lang w:bidi="ar"/>
        </w:rPr>
        <w:t>3.3.4</w:t>
      </w:r>
      <w:r>
        <w:rPr>
          <w:rFonts w:hint="eastAsia" w:ascii="宋体" w:hAnsi="宋体" w:cs="宋体"/>
          <w:szCs w:val="21"/>
          <w:highlight w:val="none"/>
          <w:lang w:bidi="ar"/>
        </w:rPr>
        <w:t>中标服务商应根据招标人要求每年采购一定数量的乡村振兴帮扶产品。</w:t>
      </w:r>
    </w:p>
    <w:p w14:paraId="5E510925">
      <w:pPr>
        <w:tabs>
          <w:tab w:val="left" w:pos="425"/>
        </w:tabs>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3.3.5采购内容和标准：</w:t>
      </w:r>
    </w:p>
    <w:p w14:paraId="00EF588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1.食品原材料采买内容</w:t>
      </w:r>
    </w:p>
    <w:p w14:paraId="4D161BDE">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包括但不限于：</w:t>
      </w:r>
      <w:r>
        <w:rPr>
          <w:rFonts w:hint="eastAsia" w:ascii="宋体" w:hAnsi="宋体" w:cs="宋体"/>
          <w:szCs w:val="21"/>
          <w:lang w:val="zh-CN"/>
        </w:rPr>
        <w:t>新鲜蔬菜、水果及副食品类项目（如蛋类、豆制品、奶类、干货及其他辅料）；肉制品类</w:t>
      </w:r>
      <w:r>
        <w:rPr>
          <w:rFonts w:hint="eastAsia" w:ascii="宋体" w:hAnsi="宋体" w:cs="宋体"/>
          <w:b/>
          <w:szCs w:val="21"/>
          <w:lang w:val="zh-CN"/>
        </w:rPr>
        <w:t>（各种肉类水产尽可能使用鲜活产品。猪肉类必须使用鲜肉，水产适当鲜活，牛羊类、生禽适当使用冰鲜肉，</w:t>
      </w:r>
      <w:r>
        <w:rPr>
          <w:rFonts w:hint="eastAsia" w:ascii="宋体" w:hAnsi="宋体" w:cs="宋体"/>
          <w:szCs w:val="21"/>
          <w:lang w:val="zh-CN"/>
        </w:rPr>
        <w:t>各种肉类水产</w:t>
      </w:r>
      <w:r>
        <w:rPr>
          <w:rFonts w:hint="eastAsia" w:ascii="宋体" w:hAnsi="宋体" w:cs="宋体"/>
          <w:b/>
          <w:szCs w:val="21"/>
          <w:lang w:val="zh-CN"/>
        </w:rPr>
        <w:t>不允许使用冷冻肉和冷冻水产）</w:t>
      </w:r>
      <w:r>
        <w:rPr>
          <w:rFonts w:hint="eastAsia" w:ascii="宋体" w:hAnsi="宋体" w:cs="宋体"/>
          <w:szCs w:val="21"/>
          <w:lang w:val="zh-CN"/>
        </w:rPr>
        <w:t>；米面、杂粮、食用油、调味品等。</w:t>
      </w:r>
    </w:p>
    <w:p w14:paraId="675381D7">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2.食品原材料采买质量标准</w:t>
      </w:r>
    </w:p>
    <w:p w14:paraId="43C96A0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（1）蔬菜产品质量标准：</w:t>
      </w:r>
    </w:p>
    <w:p w14:paraId="5817F13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蔬菜必须保证每日新鲜，取得无公害认证，并出具有效的《农产品检验报告》，保证农药等化学物不超标、无病虫害、无生理病害和严重污染，避免出现以下情况：</w:t>
      </w:r>
    </w:p>
    <w:p w14:paraId="2D8E0269">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叶菜类：叶子枯萎、变黄、水伤腐烂、有泥土；茎菜类：叶子发黄、茎折断、变软；瓜类：变色、变软、擦伤；豆类：枯萎、变色；地茎类：长芽、变色、擦伤、出水；有切口菜：切口变色、内茎腐烂。</w:t>
      </w:r>
    </w:p>
    <w:p w14:paraId="0C1EB45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（2）水果产品质量标准：</w:t>
      </w:r>
    </w:p>
    <w:p w14:paraId="268C13FD">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水果必须保证每日新鲜，取得无公害认证，并出具有效的《农产品检验报告》，保证农药等化学物不超标、无病虫害、无生理病害和严重污染。</w:t>
      </w:r>
    </w:p>
    <w:p w14:paraId="6AB3583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检查包装箱是否完好，内箱支持物是否够强度；产地、等级、规格清晰；表面无腐烂、无磕碰压伤、无开裂果汁流出；果皮新鲜、光泽、无皱纹；无病虫害、生理病害及严重污染；规格大小均匀整齐。</w:t>
      </w:r>
    </w:p>
    <w:p w14:paraId="4A0B3E0A">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（3）副食调料、干货、豆制品产品质量标准：</w:t>
      </w:r>
    </w:p>
    <w:p w14:paraId="3C4267B2">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副食调料、干货、豆制品产品生产质量安全符合国家规定的QS标准，严禁提供违规使用添加产品，产品名称、规格、数量、产地、生产日期、保质期、生产批号、检验合格证号清晰，进口产品必须要有中文标示和说明，包装完整无破损。</w:t>
      </w:r>
    </w:p>
    <w:p w14:paraId="32C5D966">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（4）鲜活水产、肉、蛋、家禽及冰鲜产品质量标准：</w:t>
      </w:r>
    </w:p>
    <w:p w14:paraId="623FD0A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提供的肉类须为经检疫和肉品品质检验合格的产品，具有屠宰厂（场）加盖验讫印章并出具《畜产品检验证明》或《动物检疫合格证明》，并每两周或根据招标人要求提供，所有产品可追溯。各种合格与检验票证齐全，运输卫生，色泽新鲜，无异味，无变质现象，无注水，包装产品包装完整，包装材料应无毒无污染材料，产品名称、规格、数量、产地、生产日期、保质期、生产批号、检验合格证号清晰，进口产品必须要有中文标示和说明。</w:t>
      </w:r>
    </w:p>
    <w:p w14:paraId="0F00549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（5）饮料产品质量标准：</w:t>
      </w:r>
    </w:p>
    <w:p w14:paraId="57812849">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饮料产品质量符合国家规定的QS标准，严禁提供违规使用添加产品，产品名称、规格、数量、产地、生产日期、保质期、生产批号、检验合格证号清晰，进口产品必须要有中文标示和说明，包装完整无破损。</w:t>
      </w:r>
    </w:p>
    <w:p w14:paraId="4267CA3C">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（6）粮油、调味品产品质量标准：</w:t>
      </w:r>
    </w:p>
    <w:p w14:paraId="4D9F9130">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粮油产品生产质量安全符合国家规定的QS标准，产品名称、规格、数量、产地、生产日期、保质期、生产批号、检验合格证号清晰，进口产品必须要有中文标示和说明，包装完整无破损。</w:t>
      </w:r>
    </w:p>
    <w:p w14:paraId="324C8902">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（7）面包、蛋糕、茶点质量标准：</w:t>
      </w:r>
    </w:p>
    <w:p w14:paraId="271965EA">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面包要求使用高筋面粉，蛋白质含量在11.5%以上；蛋糕要求使用低筋面粉，蛋白质含量在7-9%之间。面粉应新鲜、无异味、无杂质，并符合食品安全标准。用于烘焙的奶油应使用天然动物奶油，应新鲜、无异味、无变质现象。不得使用防腐剂和反式脂肪。</w:t>
      </w:r>
    </w:p>
    <w:p w14:paraId="1C39A167">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3.食品原材料安全保障措施</w:t>
      </w:r>
    </w:p>
    <w:p w14:paraId="273397C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食品原材料必须严格遵守并符合《中华人民共和国食品安全法》、《中华人民共和国产品质量法》、《中华人民共和国进出口商品检验法》、《预包装食品标签通则》、《中华人民共和国农副产品质量安全法》、《中华人民共和国进出境动植物检疫法》及其实施条例、《进出境肉类检验检疫管理办法》以及其他有关法律法规。</w:t>
      </w:r>
    </w:p>
    <w:p w14:paraId="7304C925">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（2）所有包装类供货产品必须具有检验合格证和检疫票证，产品保质期不得少于6个月，保证不采购临期产品。</w:t>
      </w:r>
    </w:p>
    <w:p w14:paraId="10D876E9">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（3）供应商提供假冒伪劣、过期、变质、有毒食品的，一经发现，直接取消该供应商供货资格，并保留通过诉讼等方式追究其法律责任的权利。</w:t>
      </w:r>
    </w:p>
    <w:p w14:paraId="478298BD">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（4）供应商保</w:t>
      </w:r>
      <w:r>
        <w:rPr>
          <w:rFonts w:hint="eastAsia" w:ascii="宋体" w:hAnsi="宋体" w:cs="宋体"/>
          <w:szCs w:val="21"/>
        </w:rPr>
        <w:t>证所提供的鲜肉类、生禽、鲜水产、蔬菜种类的多样性和季节性，以保证新鲜感。</w:t>
      </w:r>
    </w:p>
    <w:p w14:paraId="1F0102B9">
      <w:pPr>
        <w:adjustRightInd w:val="0"/>
        <w:spacing w:line="360" w:lineRule="auto"/>
        <w:ind w:firstLine="420" w:firstLineChars="200"/>
        <w:rPr>
          <w:rFonts w:hint="eastAsia" w:ascii="宋体" w:hAnsi="宋体" w:cs="宋体"/>
          <w:szCs w:val="21"/>
        </w:rPr>
      </w:pPr>
      <w:r>
        <w:rPr>
          <w:rFonts w:hint="eastAsia" w:ascii="宋体" w:hAnsi="宋体" w:cs="宋体"/>
          <w:szCs w:val="21"/>
        </w:rPr>
        <w:t>（5）应急采购需求：</w:t>
      </w:r>
    </w:p>
    <w:p w14:paraId="5F616A25">
      <w:pPr>
        <w:adjustRightInd w:val="0"/>
        <w:spacing w:line="360" w:lineRule="auto"/>
        <w:ind w:firstLine="420" w:firstLineChars="200"/>
        <w:rPr>
          <w:rFonts w:hint="eastAsia" w:ascii="宋体" w:hAnsi="宋体" w:cs="宋体"/>
          <w:szCs w:val="21"/>
        </w:rPr>
      </w:pPr>
      <w:r>
        <w:rPr>
          <w:rFonts w:hint="eastAsia" w:ascii="宋体" w:hAnsi="宋体" w:cs="宋体"/>
          <w:szCs w:val="21"/>
        </w:rPr>
        <w:t>如遇临时紧急情况需采买原材料时，供应商应及时响应，积极安排采买员完成采买工作。</w:t>
      </w:r>
    </w:p>
    <w:p w14:paraId="6FEC7B60">
      <w:pPr>
        <w:adjustRightInd w:val="0"/>
        <w:spacing w:line="360" w:lineRule="auto"/>
        <w:ind w:firstLine="420" w:firstLineChars="200"/>
        <w:rPr>
          <w:rFonts w:hint="eastAsia" w:ascii="宋体" w:hAnsi="宋体" w:cs="宋体"/>
          <w:szCs w:val="21"/>
        </w:rPr>
      </w:pPr>
      <w:r>
        <w:rPr>
          <w:rFonts w:hint="eastAsia" w:ascii="宋体" w:hAnsi="宋体" w:cs="宋体"/>
          <w:szCs w:val="21"/>
        </w:rPr>
        <w:t>4.原材料定价监管</w:t>
      </w:r>
    </w:p>
    <w:p w14:paraId="1C238701">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原材料定价以中标服务商每周提供的报价单为准，由招标人监管确认，最终采购价格以招标人和中标服务商确认后的报价为准。中标服务商应保证原材料采购价格不高于大型商超、电商平台，所采购原材料按照类别每周/半月/月进行定价并锁价。</w:t>
      </w:r>
    </w:p>
    <w:p w14:paraId="05642D2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原材料定价机制：原材料价格以创价网、新发地批发市场现场询价等市场询价为主进行确认。价格周期是根据品类按照每周/半月/月进行调整。原材料报价中包含运费、原材料损耗、供应商人工、税金等费用，原材料价格综合上浮比例不超过25%。创价网的会员费用由中标服务商承担。中标服务商应配合招标人进行原材料市场询价，并起草调研报告。</w:t>
      </w:r>
    </w:p>
    <w:p w14:paraId="24570460">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5.原材料验收监管</w:t>
      </w:r>
    </w:p>
    <w:p w14:paraId="734F0DFD">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每日指定时间供应商将原材料送到指定地点，三方（招标人或招标人指定的监管人员、中标服务商财务和厨师长、供货商）验收，验收内容包括原材料质量、价格、规格、数量、检验检疫报告（肉类）等，确认无误后三方在验收单上签字确认。收货单留存随时备查。</w:t>
      </w:r>
    </w:p>
    <w:p w14:paraId="1D31E99D">
      <w:pPr>
        <w:tabs>
          <w:tab w:val="left" w:pos="992"/>
        </w:tabs>
        <w:adjustRightInd w:val="0"/>
        <w:spacing w:line="360" w:lineRule="auto"/>
        <w:ind w:firstLine="422" w:firstLineChars="200"/>
        <w:rPr>
          <w:rFonts w:hint="eastAsia" w:ascii="宋体" w:hAnsi="宋体" w:cs="宋体"/>
          <w:b/>
          <w:szCs w:val="21"/>
        </w:rPr>
      </w:pPr>
      <w:r>
        <w:rPr>
          <w:rFonts w:hint="eastAsia" w:ascii="宋体" w:hAnsi="宋体" w:cs="宋体"/>
          <w:b/>
          <w:szCs w:val="21"/>
          <w:lang w:bidi="ar"/>
        </w:rPr>
        <w:t>3.4项目保障要求</w:t>
      </w:r>
    </w:p>
    <w:p w14:paraId="742724BB">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为保障招标人利益不受损害，同时在餐饮服务期限内保障招标人生产正常运行和资产安全，</w:t>
      </w:r>
      <w:r>
        <w:rPr>
          <w:rFonts w:hint="eastAsia"/>
          <w:kern w:val="2"/>
          <w:sz w:val="21"/>
          <w:szCs w:val="21"/>
          <w:lang w:bidi="ar"/>
        </w:rPr>
        <w:t>中标服务商</w:t>
      </w:r>
      <w:r>
        <w:rPr>
          <w:rFonts w:hint="eastAsia"/>
          <w:sz w:val="21"/>
          <w:szCs w:val="21"/>
        </w:rPr>
        <w:t>在中标后须为招标人委托</w:t>
      </w:r>
      <w:r>
        <w:rPr>
          <w:rFonts w:hint="eastAsia"/>
          <w:kern w:val="2"/>
          <w:sz w:val="21"/>
          <w:szCs w:val="21"/>
          <w:lang w:bidi="ar"/>
        </w:rPr>
        <w:t>中标服务商</w:t>
      </w:r>
      <w:r>
        <w:rPr>
          <w:rFonts w:hint="eastAsia"/>
          <w:sz w:val="21"/>
          <w:szCs w:val="21"/>
        </w:rPr>
        <w:t>管理的资产或相关权益购买企业财产保险、责任保险等保险。为保证</w:t>
      </w:r>
      <w:r>
        <w:rPr>
          <w:rFonts w:hint="eastAsia"/>
          <w:kern w:val="2"/>
          <w:sz w:val="21"/>
          <w:szCs w:val="21"/>
          <w:lang w:bidi="ar"/>
        </w:rPr>
        <w:t>中标服务商</w:t>
      </w:r>
      <w:r>
        <w:rPr>
          <w:rFonts w:hint="eastAsia"/>
          <w:sz w:val="21"/>
          <w:szCs w:val="21"/>
        </w:rPr>
        <w:t>有充足能力完成后续服务工作，充分的项目保险将作为签订合同的前提条件。</w:t>
      </w:r>
    </w:p>
    <w:p w14:paraId="2D128B83">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3.4.1保险险种要求：</w:t>
      </w:r>
    </w:p>
    <w:p w14:paraId="095A8AC5">
      <w:pPr>
        <w:pStyle w:val="24"/>
        <w:adjustRightInd w:val="0"/>
        <w:spacing w:before="0" w:beforeAutospacing="0" w:after="0" w:afterAutospacing="0" w:line="360" w:lineRule="auto"/>
        <w:ind w:firstLine="420" w:firstLineChars="200"/>
        <w:contextualSpacing/>
        <w:jc w:val="both"/>
        <w:rPr>
          <w:rFonts w:hint="eastAsia"/>
          <w:sz w:val="21"/>
          <w:szCs w:val="21"/>
        </w:rPr>
      </w:pPr>
      <w:r>
        <w:rPr>
          <w:rFonts w:hint="eastAsia"/>
          <w:sz w:val="21"/>
          <w:szCs w:val="21"/>
        </w:rPr>
        <w:t>对于招标人交付给</w:t>
      </w:r>
      <w:r>
        <w:rPr>
          <w:rFonts w:hint="eastAsia"/>
          <w:kern w:val="2"/>
          <w:sz w:val="21"/>
          <w:szCs w:val="21"/>
          <w:lang w:bidi="ar"/>
        </w:rPr>
        <w:t>中标服务商</w:t>
      </w:r>
      <w:r>
        <w:rPr>
          <w:rFonts w:hint="eastAsia"/>
          <w:sz w:val="21"/>
          <w:szCs w:val="21"/>
        </w:rPr>
        <w:t>运营、管理的所有财产，包括但不限于招标人配备的厨房设备、家具等，</w:t>
      </w:r>
      <w:r>
        <w:rPr>
          <w:rFonts w:hint="eastAsia"/>
          <w:kern w:val="2"/>
          <w:sz w:val="21"/>
          <w:szCs w:val="21"/>
          <w:lang w:bidi="ar"/>
        </w:rPr>
        <w:t>中标服务商</w:t>
      </w:r>
      <w:r>
        <w:rPr>
          <w:rFonts w:hint="eastAsia"/>
          <w:sz w:val="21"/>
          <w:szCs w:val="21"/>
        </w:rPr>
        <w:t>应当购买企业财产一切险，还包括其他必要的附加险：消防类、燃气安全类保险品种。</w:t>
      </w:r>
    </w:p>
    <w:p w14:paraId="10CF0A63">
      <w:pPr>
        <w:spacing w:line="360" w:lineRule="auto"/>
        <w:ind w:firstLine="420" w:firstLineChars="200"/>
        <w:rPr>
          <w:rFonts w:hint="eastAsia" w:ascii="宋体" w:hAnsi="宋体"/>
          <w:szCs w:val="21"/>
        </w:rPr>
      </w:pPr>
      <w:r>
        <w:rPr>
          <w:rFonts w:hint="eastAsia" w:ascii="宋体" w:hAnsi="宋体" w:cs="宋体"/>
          <w:szCs w:val="21"/>
          <w:lang w:bidi="ar"/>
        </w:rPr>
        <w:t>中标服务商</w:t>
      </w:r>
      <w:r>
        <w:rPr>
          <w:rFonts w:hint="eastAsia" w:ascii="宋体" w:hAnsi="宋体"/>
          <w:szCs w:val="21"/>
        </w:rPr>
        <w:t>在负责运营、管理招标人员工食堂期间，应当购买公众责任及食品安全保险，附加食品、饮料、消防类、燃气安全类责任保险。限额不低于2000万元、每次事故责任限额不低于500万元、每人死亡伤残限额不低于50万元、事故医疗责任限额不低于3万元。</w:t>
      </w:r>
      <w:bookmarkEnd w:id="31"/>
    </w:p>
    <w:p w14:paraId="79F817DC">
      <w:pPr>
        <w:rPr>
          <w:rFonts w:hint="eastAsia" w:ascii="宋体" w:hAnsi="宋体"/>
          <w:szCs w:val="21"/>
        </w:rPr>
      </w:pPr>
      <w:r>
        <w:rPr>
          <w:rFonts w:hint="eastAsia" w:ascii="宋体" w:hAnsi="宋体"/>
          <w:szCs w:val="21"/>
        </w:rPr>
        <w:br w:type="page"/>
      </w:r>
    </w:p>
    <w:p w14:paraId="2D9423A3">
      <w:pPr>
        <w:pStyle w:val="2"/>
        <w:rPr>
          <w:b w:val="0"/>
          <w:bCs w:val="0"/>
          <w:color w:val="000000"/>
        </w:rPr>
      </w:pPr>
      <w:bookmarkStart w:id="40" w:name="_Toc20789"/>
      <w:r>
        <w:rPr>
          <w:rFonts w:hint="eastAsia"/>
          <w:b w:val="0"/>
          <w:bCs w:val="0"/>
          <w:color w:val="000000"/>
        </w:rPr>
        <w:t>第五部分</w:t>
      </w:r>
      <w:r>
        <w:rPr>
          <w:b w:val="0"/>
          <w:bCs w:val="0"/>
          <w:color w:val="000000"/>
        </w:rPr>
        <w:t xml:space="preserve"> </w:t>
      </w:r>
      <w:r>
        <w:rPr>
          <w:rFonts w:hint="eastAsia"/>
          <w:b w:val="0"/>
          <w:bCs w:val="0"/>
          <w:color w:val="000000"/>
        </w:rPr>
        <w:t>投标文件格式</w:t>
      </w:r>
      <w:bookmarkEnd w:id="40"/>
    </w:p>
    <w:p w14:paraId="6F582980">
      <w:pPr>
        <w:pStyle w:val="58"/>
        <w:spacing w:line="360" w:lineRule="auto"/>
        <w:ind w:firstLine="420" w:firstLineChars="200"/>
        <w:rPr>
          <w:rFonts w:hint="eastAsia"/>
          <w:color w:val="000000"/>
        </w:rPr>
      </w:pPr>
      <w:r>
        <w:rPr>
          <w:rFonts w:hint="eastAsia"/>
          <w:color w:val="000000"/>
        </w:rPr>
        <w:t>投标人应通过</w:t>
      </w:r>
      <w:r>
        <w:rPr>
          <w:rFonts w:hint="eastAsia"/>
          <w:color w:val="000000"/>
          <w:lang w:val="en-US" w:eastAsia="zh-CN"/>
        </w:rPr>
        <w:t>中国机械科学研究总院集团有限公司</w:t>
      </w:r>
      <w:r>
        <w:rPr>
          <w:rFonts w:hint="eastAsia"/>
          <w:color w:val="000000"/>
        </w:rPr>
        <w:t>官网（https://www.cam.com.cn/）下载招标文件，严格按照招标文件要求编写投标文件。编写完成后，应当按照招标文件要求的格式及顺序装订成册，并在相应位置签字（或人名章）及盖章。未按招标文件要求编制投标文件或编排顺序混乱导致投标文件被误读或查找不到的，由投标人承担相应后果。</w:t>
      </w:r>
    </w:p>
    <w:p w14:paraId="199F144F">
      <w:pPr>
        <w:pStyle w:val="58"/>
        <w:spacing w:line="360" w:lineRule="auto"/>
        <w:ind w:firstLine="420" w:firstLineChars="200"/>
        <w:rPr>
          <w:rFonts w:hint="eastAsia"/>
          <w:color w:val="000000"/>
        </w:rPr>
      </w:pPr>
      <w:r>
        <w:rPr>
          <w:rFonts w:hint="eastAsia"/>
          <w:color w:val="000000"/>
        </w:rPr>
        <w:t>招标文件中要求投标人应答的全部内容都必须给予正面回答。</w:t>
      </w:r>
    </w:p>
    <w:p w14:paraId="26D20FBE">
      <w:pPr>
        <w:pStyle w:val="58"/>
        <w:spacing w:line="360" w:lineRule="auto"/>
        <w:ind w:firstLine="420" w:firstLineChars="200"/>
        <w:rPr>
          <w:rFonts w:hint="eastAsia"/>
          <w:color w:val="000000"/>
        </w:rPr>
      </w:pPr>
      <w:r>
        <w:rPr>
          <w:rFonts w:hint="eastAsia"/>
          <w:color w:val="000000"/>
        </w:rPr>
        <w:t>投标人提交的材料将被保密保存，但不退还。</w:t>
      </w:r>
    </w:p>
    <w:p w14:paraId="2DAEF4CE">
      <w:pPr>
        <w:pStyle w:val="58"/>
        <w:spacing w:line="360" w:lineRule="auto"/>
        <w:ind w:firstLine="420" w:firstLineChars="200"/>
        <w:rPr>
          <w:rFonts w:hint="eastAsia"/>
          <w:color w:val="000000"/>
        </w:rPr>
      </w:pPr>
      <w:r>
        <w:rPr>
          <w:rFonts w:hint="eastAsia"/>
          <w:color w:val="000000"/>
        </w:rPr>
        <w:t>投标人应当按照投标人须知中规定的语言及规定的份数，编写并提交投标文件。</w:t>
      </w:r>
    </w:p>
    <w:p w14:paraId="100EED3C">
      <w:pPr>
        <w:pStyle w:val="3"/>
        <w:jc w:val="both"/>
        <w:rPr>
          <w:rFonts w:hint="eastAsia" w:ascii="黑体" w:hAnsi="黑体"/>
          <w:bCs/>
          <w:color w:val="000000"/>
        </w:rPr>
      </w:pPr>
      <w:bookmarkStart w:id="41" w:name="_Toc31194"/>
      <w:r>
        <w:rPr>
          <w:rFonts w:hint="eastAsia" w:ascii="黑体" w:hAnsi="黑体"/>
          <w:bCs/>
          <w:color w:val="000000"/>
        </w:rPr>
        <w:t>5.1投标文件目录编制格式</w:t>
      </w:r>
      <w:bookmarkEnd w:id="41"/>
    </w:p>
    <w:p w14:paraId="6778E8C9">
      <w:pPr>
        <w:pStyle w:val="58"/>
        <w:spacing w:line="360" w:lineRule="auto"/>
        <w:jc w:val="center"/>
        <w:rPr>
          <w:rFonts w:hint="eastAsia"/>
          <w:b/>
          <w:color w:val="000000"/>
          <w:sz w:val="28"/>
        </w:rPr>
      </w:pPr>
      <w:r>
        <w:rPr>
          <w:rFonts w:hint="eastAsia"/>
          <w:b/>
          <w:color w:val="000000"/>
          <w:sz w:val="28"/>
        </w:rPr>
        <w:t>投标文件目录</w:t>
      </w:r>
    </w:p>
    <w:p w14:paraId="0A343494">
      <w:pPr>
        <w:pStyle w:val="58"/>
        <w:spacing w:line="360" w:lineRule="auto"/>
        <w:ind w:firstLine="482" w:firstLineChars="200"/>
        <w:rPr>
          <w:rFonts w:hint="eastAsia"/>
          <w:b/>
          <w:color w:val="000000"/>
          <w:sz w:val="24"/>
        </w:rPr>
      </w:pPr>
      <w:r>
        <w:rPr>
          <w:rFonts w:hint="eastAsia"/>
          <w:b/>
          <w:color w:val="000000"/>
          <w:sz w:val="24"/>
        </w:rPr>
        <w:t>商务部分</w:t>
      </w:r>
    </w:p>
    <w:p w14:paraId="77C24673">
      <w:pPr>
        <w:pStyle w:val="58"/>
        <w:spacing w:line="360" w:lineRule="auto"/>
        <w:ind w:firstLine="420" w:firstLineChars="200"/>
        <w:rPr>
          <w:rFonts w:hint="eastAsia"/>
          <w:color w:val="000000"/>
        </w:rPr>
      </w:pPr>
      <w:r>
        <w:rPr>
          <w:rFonts w:hint="eastAsia"/>
          <w:color w:val="000000"/>
        </w:rPr>
        <w:t>1.投标函…………………………………………………………………………………所在页码</w:t>
      </w:r>
    </w:p>
    <w:p w14:paraId="64C7DA98">
      <w:pPr>
        <w:pStyle w:val="58"/>
        <w:spacing w:line="360" w:lineRule="auto"/>
        <w:ind w:firstLine="420" w:firstLineChars="200"/>
        <w:rPr>
          <w:rFonts w:hint="eastAsia"/>
          <w:color w:val="000000"/>
        </w:rPr>
      </w:pPr>
      <w:r>
        <w:rPr>
          <w:rFonts w:hint="eastAsia"/>
          <w:color w:val="000000"/>
        </w:rPr>
        <w:t>2.法定代表人授权委托书………………………………………………………………所在页码</w:t>
      </w:r>
    </w:p>
    <w:p w14:paraId="0290BE35">
      <w:pPr>
        <w:pStyle w:val="58"/>
        <w:spacing w:line="360" w:lineRule="auto"/>
        <w:ind w:firstLine="420" w:firstLineChars="200"/>
        <w:rPr>
          <w:rFonts w:hint="eastAsia"/>
          <w:color w:val="000000"/>
        </w:rPr>
      </w:pPr>
      <w:r>
        <w:rPr>
          <w:rFonts w:hint="eastAsia"/>
          <w:color w:val="000000"/>
        </w:rPr>
        <w:t>3.</w:t>
      </w:r>
      <w:r>
        <w:rPr>
          <w:rFonts w:hint="eastAsia"/>
        </w:rPr>
        <w:t>营业执照或自然人身份证明</w:t>
      </w:r>
      <w:r>
        <w:rPr>
          <w:rFonts w:hint="eastAsia"/>
          <w:color w:val="000000"/>
        </w:rPr>
        <w:t>…………………………………………………………所在页码</w:t>
      </w:r>
    </w:p>
    <w:p w14:paraId="3929E40C">
      <w:pPr>
        <w:pStyle w:val="58"/>
        <w:spacing w:line="360" w:lineRule="auto"/>
        <w:ind w:firstLine="420" w:firstLineChars="200"/>
        <w:rPr>
          <w:rFonts w:hint="eastAsia"/>
          <w:color w:val="000000"/>
        </w:rPr>
      </w:pPr>
      <w:r>
        <w:rPr>
          <w:rFonts w:hint="eastAsia"/>
          <w:color w:val="000000"/>
        </w:rPr>
        <w:t>4.财务审计报告、资产负债表及损益表/利润表………………………………………所在页码</w:t>
      </w:r>
    </w:p>
    <w:p w14:paraId="7713E3D5">
      <w:pPr>
        <w:pStyle w:val="58"/>
        <w:spacing w:line="360" w:lineRule="auto"/>
        <w:ind w:firstLine="420" w:firstLineChars="200"/>
        <w:rPr>
          <w:rFonts w:hint="eastAsia"/>
          <w:color w:val="000000"/>
        </w:rPr>
      </w:pPr>
      <w:r>
        <w:rPr>
          <w:rFonts w:hint="eastAsia"/>
          <w:color w:val="000000"/>
        </w:rPr>
        <w:t>5.最近一年任意三个月依法缴纳各种税收和社会保障资金的相关证明材料………所在页码</w:t>
      </w:r>
    </w:p>
    <w:p w14:paraId="58919D2C">
      <w:pPr>
        <w:pStyle w:val="58"/>
        <w:spacing w:line="360" w:lineRule="auto"/>
        <w:ind w:firstLine="420" w:firstLineChars="200"/>
        <w:rPr>
          <w:rFonts w:hint="eastAsia"/>
          <w:color w:val="000000"/>
        </w:rPr>
      </w:pPr>
      <w:r>
        <w:rPr>
          <w:rFonts w:hint="eastAsia"/>
          <w:color w:val="000000"/>
        </w:rPr>
        <w:t>6.具备履行合同所必需的设备和专业技术能力的证明材料…………………………所在页码</w:t>
      </w:r>
    </w:p>
    <w:p w14:paraId="662C35FE">
      <w:pPr>
        <w:pStyle w:val="58"/>
        <w:spacing w:line="360" w:lineRule="auto"/>
        <w:ind w:firstLine="420" w:firstLineChars="200"/>
        <w:rPr>
          <w:rFonts w:hint="eastAsia"/>
          <w:color w:val="000000"/>
        </w:rPr>
      </w:pPr>
      <w:r>
        <w:rPr>
          <w:rFonts w:hint="eastAsia"/>
          <w:color w:val="000000"/>
        </w:rPr>
        <w:t>7.投标人开户银行出具的资信证明原件或复印件……………………………………所在页码</w:t>
      </w:r>
    </w:p>
    <w:p w14:paraId="152E3BDE">
      <w:pPr>
        <w:pStyle w:val="58"/>
        <w:spacing w:line="360" w:lineRule="auto"/>
        <w:ind w:firstLine="420" w:firstLineChars="200"/>
        <w:rPr>
          <w:rFonts w:hint="eastAsia"/>
          <w:color w:val="000000"/>
        </w:rPr>
      </w:pPr>
      <w:r>
        <w:rPr>
          <w:rFonts w:hint="eastAsia"/>
          <w:color w:val="000000"/>
        </w:rPr>
        <w:t>8.商务条款逐项应答表…………………………………………………………………所在页码</w:t>
      </w:r>
    </w:p>
    <w:p w14:paraId="11B29486">
      <w:pPr>
        <w:pStyle w:val="58"/>
        <w:spacing w:line="360" w:lineRule="auto"/>
        <w:ind w:firstLine="420" w:firstLineChars="200"/>
        <w:rPr>
          <w:rFonts w:hint="eastAsia"/>
          <w:color w:val="000000"/>
        </w:rPr>
      </w:pPr>
      <w:r>
        <w:rPr>
          <w:rFonts w:hint="eastAsia"/>
          <w:color w:val="000000"/>
        </w:rPr>
        <w:t>9.投标保证金……………………………………………………………………………所在页码</w:t>
      </w:r>
    </w:p>
    <w:p w14:paraId="2B037E0D">
      <w:pPr>
        <w:pStyle w:val="58"/>
        <w:spacing w:line="360" w:lineRule="auto"/>
        <w:ind w:firstLine="420" w:firstLineChars="200"/>
        <w:rPr>
          <w:rFonts w:hint="eastAsia"/>
          <w:color w:val="000000"/>
        </w:rPr>
      </w:pPr>
      <w:r>
        <w:rPr>
          <w:rFonts w:hint="eastAsia"/>
          <w:color w:val="000000"/>
        </w:rPr>
        <w:t>10.供应商承诺书…………………………………………………………………………所在页码</w:t>
      </w:r>
    </w:p>
    <w:p w14:paraId="08EBAE77">
      <w:pPr>
        <w:pStyle w:val="58"/>
        <w:spacing w:line="360" w:lineRule="auto"/>
        <w:ind w:firstLine="420" w:firstLineChars="200"/>
        <w:rPr>
          <w:rFonts w:hint="eastAsia"/>
          <w:color w:val="000000"/>
        </w:rPr>
      </w:pPr>
      <w:r>
        <w:rPr>
          <w:rFonts w:hint="eastAsia"/>
          <w:color w:val="000000"/>
        </w:rPr>
        <w:t>11.企业实力情况…………………………………………………………………………所在页码</w:t>
      </w:r>
    </w:p>
    <w:p w14:paraId="4D132405">
      <w:pPr>
        <w:pStyle w:val="58"/>
        <w:spacing w:line="360" w:lineRule="auto"/>
        <w:ind w:firstLine="420" w:firstLineChars="200"/>
        <w:rPr>
          <w:rFonts w:hint="eastAsia"/>
          <w:color w:val="000000"/>
        </w:rPr>
      </w:pPr>
      <w:r>
        <w:rPr>
          <w:rFonts w:hint="eastAsia"/>
          <w:color w:val="000000"/>
        </w:rPr>
        <w:t>12.业绩情况………………………………………………………………………………所在页码</w:t>
      </w:r>
    </w:p>
    <w:p w14:paraId="575BDBA6">
      <w:pPr>
        <w:pStyle w:val="58"/>
        <w:spacing w:line="360" w:lineRule="auto"/>
        <w:ind w:firstLine="420" w:firstLineChars="200"/>
        <w:rPr>
          <w:rFonts w:hint="eastAsia"/>
          <w:color w:val="000000"/>
        </w:rPr>
      </w:pPr>
      <w:r>
        <w:rPr>
          <w:rFonts w:hint="eastAsia"/>
          <w:color w:val="000000"/>
        </w:rPr>
        <w:t>13.资质情况………………………………………………………………………………所在页码</w:t>
      </w:r>
    </w:p>
    <w:p w14:paraId="69C52431">
      <w:pPr>
        <w:pStyle w:val="58"/>
        <w:spacing w:line="360" w:lineRule="auto"/>
        <w:ind w:firstLine="420" w:firstLineChars="200"/>
        <w:rPr>
          <w:rFonts w:hint="eastAsia"/>
          <w:color w:val="000000"/>
        </w:rPr>
      </w:pPr>
      <w:r>
        <w:rPr>
          <w:rFonts w:hint="eastAsia"/>
          <w:color w:val="000000"/>
        </w:rPr>
        <w:t>14.投标人认为需要提供的其他资料……………………………………………………所在页码</w:t>
      </w:r>
    </w:p>
    <w:p w14:paraId="0C387AC9">
      <w:pPr>
        <w:pStyle w:val="58"/>
        <w:spacing w:line="360" w:lineRule="auto"/>
        <w:rPr>
          <w:rFonts w:hint="eastAsia"/>
          <w:color w:val="000000"/>
        </w:rPr>
      </w:pPr>
    </w:p>
    <w:p w14:paraId="685AC345">
      <w:pPr>
        <w:pStyle w:val="58"/>
        <w:spacing w:line="360" w:lineRule="auto"/>
        <w:ind w:firstLine="482" w:firstLineChars="200"/>
        <w:rPr>
          <w:rFonts w:hint="eastAsia"/>
          <w:b/>
          <w:color w:val="000000"/>
          <w:sz w:val="24"/>
        </w:rPr>
      </w:pPr>
      <w:r>
        <w:rPr>
          <w:rFonts w:hint="eastAsia"/>
          <w:b/>
          <w:color w:val="000000"/>
          <w:sz w:val="24"/>
        </w:rPr>
        <w:t>技术及服务部分</w:t>
      </w:r>
    </w:p>
    <w:p w14:paraId="32B533FD">
      <w:pPr>
        <w:pStyle w:val="58"/>
        <w:spacing w:line="360" w:lineRule="auto"/>
        <w:ind w:firstLine="420" w:firstLineChars="200"/>
        <w:rPr>
          <w:rFonts w:hint="eastAsia"/>
          <w:color w:val="000000"/>
        </w:rPr>
      </w:pPr>
      <w:r>
        <w:rPr>
          <w:rFonts w:hint="eastAsia"/>
          <w:color w:val="000000"/>
        </w:rPr>
        <w:t>1.开标一览表……………………………………………………………………………所在页码</w:t>
      </w:r>
    </w:p>
    <w:p w14:paraId="3E25F34D">
      <w:pPr>
        <w:pStyle w:val="58"/>
        <w:spacing w:line="360" w:lineRule="auto"/>
        <w:ind w:firstLine="420" w:firstLineChars="200"/>
        <w:rPr>
          <w:rFonts w:hint="eastAsia"/>
          <w:color w:val="000000"/>
        </w:rPr>
      </w:pPr>
      <w:r>
        <w:rPr>
          <w:rFonts w:hint="eastAsia"/>
          <w:color w:val="000000"/>
        </w:rPr>
        <w:t>2.服务承诺逐项应答表…………………………………………………………………所在页码</w:t>
      </w:r>
    </w:p>
    <w:p w14:paraId="6475C40D">
      <w:pPr>
        <w:pStyle w:val="58"/>
        <w:spacing w:line="360" w:lineRule="auto"/>
        <w:ind w:firstLine="420" w:firstLineChars="200"/>
        <w:rPr>
          <w:rFonts w:hint="eastAsia"/>
          <w:color w:val="000000"/>
        </w:rPr>
      </w:pPr>
      <w:r>
        <w:rPr>
          <w:rFonts w:hint="eastAsia"/>
          <w:color w:val="000000"/>
        </w:rPr>
        <w:t>3.服务方案………………………………………………………………………………所在页码</w:t>
      </w:r>
    </w:p>
    <w:p w14:paraId="35E469DB">
      <w:pPr>
        <w:pStyle w:val="58"/>
        <w:spacing w:line="360" w:lineRule="auto"/>
        <w:ind w:firstLine="420" w:firstLineChars="200"/>
        <w:rPr>
          <w:rFonts w:hint="eastAsia"/>
          <w:color w:val="000000"/>
        </w:rPr>
      </w:pPr>
      <w:r>
        <w:rPr>
          <w:rFonts w:hint="eastAsia"/>
          <w:color w:val="000000"/>
        </w:rPr>
        <w:t>4.</w:t>
      </w:r>
      <w:r>
        <w:rPr>
          <w:rFonts w:hint="eastAsia" w:cs="宋体"/>
          <w:color w:val="000000"/>
        </w:rPr>
        <w:t>食品卫生安全保障、食品健康等保障措施方案</w:t>
      </w:r>
      <w:r>
        <w:rPr>
          <w:rFonts w:hint="eastAsia"/>
          <w:color w:val="000000"/>
        </w:rPr>
        <w:t>……………………………………所在页码</w:t>
      </w:r>
    </w:p>
    <w:p w14:paraId="64BF2767">
      <w:pPr>
        <w:pStyle w:val="58"/>
        <w:spacing w:line="360" w:lineRule="auto"/>
        <w:ind w:firstLine="420" w:firstLineChars="200"/>
        <w:rPr>
          <w:rFonts w:hint="eastAsia"/>
          <w:color w:val="000000"/>
        </w:rPr>
      </w:pPr>
      <w:r>
        <w:rPr>
          <w:rFonts w:hint="eastAsia"/>
          <w:color w:val="000000"/>
        </w:rPr>
        <w:t>5.人员管理方案…………………………………………………………………………所在页码</w:t>
      </w:r>
    </w:p>
    <w:p w14:paraId="7F607AF3">
      <w:pPr>
        <w:pStyle w:val="58"/>
        <w:spacing w:line="360" w:lineRule="auto"/>
        <w:ind w:firstLine="420" w:firstLineChars="200"/>
        <w:rPr>
          <w:rFonts w:hint="eastAsia"/>
          <w:color w:val="000000"/>
        </w:rPr>
      </w:pPr>
      <w:r>
        <w:rPr>
          <w:rFonts w:hint="eastAsia"/>
          <w:color w:val="000000"/>
        </w:rPr>
        <w:t>6.原材料采购及价格控制方案…………………………………………………………所在页码</w:t>
      </w:r>
    </w:p>
    <w:p w14:paraId="3C04DF48">
      <w:pPr>
        <w:pStyle w:val="58"/>
        <w:spacing w:line="360" w:lineRule="auto"/>
        <w:ind w:firstLine="420" w:firstLineChars="200"/>
        <w:rPr>
          <w:rFonts w:hint="eastAsia"/>
          <w:color w:val="000000"/>
        </w:rPr>
      </w:pPr>
      <w:r>
        <w:rPr>
          <w:rFonts w:hint="eastAsia"/>
          <w:color w:val="000000"/>
        </w:rPr>
        <w:t>7.应急预案方案…………………………………………………………………………所在页码</w:t>
      </w:r>
    </w:p>
    <w:p w14:paraId="078A4C73">
      <w:pPr>
        <w:pStyle w:val="58"/>
        <w:spacing w:line="360" w:lineRule="auto"/>
        <w:ind w:firstLine="420" w:firstLineChars="200"/>
        <w:rPr>
          <w:rFonts w:hint="eastAsia"/>
          <w:color w:val="000000"/>
        </w:rPr>
      </w:pPr>
      <w:r>
        <w:rPr>
          <w:rFonts w:hint="eastAsia"/>
          <w:color w:val="000000"/>
        </w:rPr>
        <w:t>8.项目负责人（项目经理、厨师长）…………………………………………………所在页码</w:t>
      </w:r>
    </w:p>
    <w:p w14:paraId="746312B1">
      <w:pPr>
        <w:pStyle w:val="58"/>
        <w:spacing w:line="360" w:lineRule="auto"/>
        <w:ind w:firstLine="420" w:firstLineChars="200"/>
        <w:rPr>
          <w:rFonts w:hint="eastAsia"/>
          <w:color w:val="000000"/>
        </w:rPr>
      </w:pPr>
      <w:r>
        <w:rPr>
          <w:rFonts w:hint="eastAsia"/>
          <w:color w:val="000000"/>
        </w:rPr>
        <w:t>9.</w:t>
      </w:r>
      <w:r>
        <w:rPr>
          <w:rFonts w:hint="eastAsia" w:cs="宋体"/>
          <w:color w:val="000000"/>
        </w:rPr>
        <w:t>服务团队配置</w:t>
      </w:r>
      <w:r>
        <w:rPr>
          <w:rFonts w:hint="eastAsia"/>
          <w:color w:val="000000"/>
        </w:rPr>
        <w:t>…………………………………………………………………………所在页码</w:t>
      </w:r>
    </w:p>
    <w:p w14:paraId="70B1E4DF">
      <w:pPr>
        <w:pStyle w:val="58"/>
        <w:spacing w:line="360" w:lineRule="auto"/>
        <w:ind w:firstLine="420" w:firstLineChars="200"/>
        <w:rPr>
          <w:rFonts w:hint="eastAsia"/>
          <w:color w:val="000000"/>
        </w:rPr>
      </w:pPr>
      <w:r>
        <w:rPr>
          <w:rFonts w:hint="eastAsia"/>
          <w:color w:val="000000"/>
        </w:rPr>
        <w:t>10.增值服务方案…………………………………………………………………………所在页码</w:t>
      </w:r>
    </w:p>
    <w:p w14:paraId="58C838F5">
      <w:pPr>
        <w:pStyle w:val="3"/>
        <w:jc w:val="both"/>
        <w:rPr>
          <w:rFonts w:hint="eastAsia" w:ascii="黑体" w:hAnsi="黑体"/>
          <w:bCs/>
          <w:color w:val="000000"/>
        </w:rPr>
      </w:pPr>
      <w:bookmarkStart w:id="42" w:name="_Toc23297"/>
      <w:r>
        <w:rPr>
          <w:rFonts w:hint="eastAsia" w:ascii="黑体" w:hAnsi="黑体"/>
          <w:bCs/>
          <w:color w:val="000000"/>
        </w:rPr>
        <w:t>5.2 商务部分编制格式</w:t>
      </w:r>
      <w:bookmarkEnd w:id="42"/>
    </w:p>
    <w:p w14:paraId="2271268C">
      <w:pPr>
        <w:pStyle w:val="4"/>
        <w:rPr>
          <w:rFonts w:hint="eastAsia"/>
          <w:color w:val="000000"/>
        </w:rPr>
      </w:pPr>
      <w:r>
        <w:rPr>
          <w:rFonts w:hint="eastAsia"/>
          <w:color w:val="000000"/>
        </w:rPr>
        <w:t>5.2.1 *投标函</w:t>
      </w:r>
    </w:p>
    <w:p w14:paraId="2FBFB64E">
      <w:pPr>
        <w:spacing w:line="360" w:lineRule="auto"/>
        <w:rPr>
          <w:rFonts w:hint="eastAsia" w:ascii="宋体" w:hAnsi="宋体"/>
          <w:color w:val="000000"/>
          <w:szCs w:val="21"/>
        </w:rPr>
      </w:pPr>
      <w:r>
        <w:rPr>
          <w:rFonts w:hint="eastAsia" w:ascii="宋体" w:hAnsi="宋体"/>
          <w:color w:val="000000"/>
          <w:szCs w:val="21"/>
          <w:u w:val="single"/>
          <w:lang w:val="en-US" w:eastAsia="zh-CN"/>
        </w:rPr>
        <w:t>中国机械科学研究总院集团有限公司</w:t>
      </w:r>
      <w:r>
        <w:rPr>
          <w:rFonts w:hint="eastAsia" w:ascii="宋体" w:hAnsi="宋体"/>
          <w:color w:val="000000"/>
          <w:szCs w:val="21"/>
          <w:u w:val="single"/>
        </w:rPr>
        <w:t>：</w:t>
      </w:r>
    </w:p>
    <w:p w14:paraId="101E2F5F">
      <w:pPr>
        <w:spacing w:line="360" w:lineRule="auto"/>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（投标人全称）授权</w:t>
      </w:r>
      <w:r>
        <w:rPr>
          <w:rFonts w:hint="eastAsia" w:ascii="宋体" w:hAnsi="宋体"/>
          <w:color w:val="000000"/>
          <w:szCs w:val="21"/>
          <w:u w:val="single"/>
        </w:rPr>
        <w:t xml:space="preserve">          </w:t>
      </w:r>
      <w:r>
        <w:rPr>
          <w:rFonts w:hint="eastAsia" w:ascii="宋体" w:hAnsi="宋体"/>
          <w:color w:val="000000"/>
          <w:szCs w:val="21"/>
        </w:rPr>
        <w:t>（投标人代表姓名）</w:t>
      </w:r>
      <w:r>
        <w:rPr>
          <w:rFonts w:hint="eastAsia" w:ascii="宋体" w:hAnsi="宋体"/>
          <w:color w:val="000000"/>
          <w:szCs w:val="21"/>
          <w:u w:val="single"/>
        </w:rPr>
        <w:t xml:space="preserve">            </w:t>
      </w:r>
      <w:r>
        <w:rPr>
          <w:rFonts w:hint="eastAsia" w:ascii="宋体" w:hAnsi="宋体"/>
          <w:color w:val="000000"/>
          <w:szCs w:val="21"/>
        </w:rPr>
        <w:t>（职务、职称）为我方代表，参加贵方组织的</w:t>
      </w:r>
      <w:r>
        <w:rPr>
          <w:rFonts w:hint="eastAsia" w:ascii="宋体" w:hAnsi="宋体"/>
          <w:color w:val="000000"/>
          <w:szCs w:val="21"/>
          <w:u w:val="single"/>
        </w:rPr>
        <w:t xml:space="preserve">                    </w:t>
      </w:r>
      <w:r>
        <w:rPr>
          <w:rFonts w:hint="eastAsia" w:ascii="宋体" w:hAnsi="宋体"/>
          <w:color w:val="000000"/>
          <w:szCs w:val="21"/>
        </w:rPr>
        <w:t>（项目名称、项目编号）招标的有关活动，并对此项目进行投标。为此：</w:t>
      </w:r>
    </w:p>
    <w:p w14:paraId="443ECAEF">
      <w:pPr>
        <w:pStyle w:val="58"/>
        <w:spacing w:line="360" w:lineRule="auto"/>
        <w:rPr>
          <w:rFonts w:hint="eastAsia"/>
          <w:color w:val="000000"/>
        </w:rPr>
      </w:pPr>
      <w:r>
        <w:rPr>
          <w:rFonts w:hint="eastAsia"/>
          <w:color w:val="000000"/>
        </w:rPr>
        <w:t>1.我方同意在本项目招标文件中规定的开标日起</w:t>
      </w:r>
      <w:r>
        <w:rPr>
          <w:rFonts w:hint="eastAsia"/>
          <w:color w:val="000000"/>
          <w:u w:val="single"/>
        </w:rPr>
        <w:t>180日内</w:t>
      </w:r>
      <w:r>
        <w:rPr>
          <w:rFonts w:hint="eastAsia"/>
          <w:color w:val="000000"/>
        </w:rPr>
        <w:t>遵守本投标文件中的承诺且在此期限期满之前均具有约束力。</w:t>
      </w:r>
    </w:p>
    <w:p w14:paraId="1CAB14F6">
      <w:pPr>
        <w:pStyle w:val="58"/>
        <w:spacing w:line="360" w:lineRule="auto"/>
        <w:rPr>
          <w:rFonts w:hint="eastAsia"/>
          <w:color w:val="000000"/>
        </w:rPr>
      </w:pPr>
      <w:r>
        <w:rPr>
          <w:rFonts w:hint="eastAsia"/>
          <w:color w:val="000000"/>
        </w:rPr>
        <w:t>2.我方承诺此次投标不存在单位负责人为同一人或者存在直接控股、管理关系的不同供应商同时参与同一合同项下投标的情形，并已经具备以下条件：</w:t>
      </w:r>
    </w:p>
    <w:p w14:paraId="4CFBD0F8">
      <w:pPr>
        <w:numPr>
          <w:ilvl w:val="0"/>
          <w:numId w:val="8"/>
        </w:numPr>
        <w:adjustRightInd w:val="0"/>
        <w:spacing w:line="360" w:lineRule="auto"/>
        <w:rPr>
          <w:rFonts w:hint="eastAsia" w:ascii="宋体" w:hAnsi="宋体"/>
          <w:color w:val="000000"/>
          <w:szCs w:val="21"/>
        </w:rPr>
      </w:pPr>
      <w:r>
        <w:rPr>
          <w:rFonts w:hint="eastAsia" w:ascii="宋体" w:hAnsi="宋体"/>
          <w:color w:val="000000"/>
          <w:szCs w:val="21"/>
        </w:rPr>
        <w:t>具有独立承担民事责任的能力；</w:t>
      </w:r>
    </w:p>
    <w:p w14:paraId="12E0FDD6">
      <w:pPr>
        <w:numPr>
          <w:ilvl w:val="0"/>
          <w:numId w:val="8"/>
        </w:numPr>
        <w:adjustRightInd w:val="0"/>
        <w:spacing w:line="360" w:lineRule="auto"/>
        <w:rPr>
          <w:rFonts w:hint="eastAsia" w:ascii="宋体" w:hAnsi="宋体"/>
          <w:color w:val="000000"/>
          <w:szCs w:val="21"/>
        </w:rPr>
      </w:pPr>
      <w:r>
        <w:rPr>
          <w:rFonts w:hint="eastAsia" w:ascii="宋体" w:hAnsi="宋体"/>
          <w:color w:val="000000"/>
          <w:szCs w:val="21"/>
        </w:rPr>
        <w:t>具有良好的商业信誉和健全的财务会计制度；</w:t>
      </w:r>
    </w:p>
    <w:p w14:paraId="21B3ECDA">
      <w:pPr>
        <w:numPr>
          <w:ilvl w:val="0"/>
          <w:numId w:val="8"/>
        </w:numPr>
        <w:adjustRightInd w:val="0"/>
        <w:spacing w:line="360" w:lineRule="auto"/>
        <w:rPr>
          <w:rFonts w:hint="eastAsia" w:ascii="宋体" w:hAnsi="宋体"/>
          <w:color w:val="000000"/>
          <w:szCs w:val="21"/>
        </w:rPr>
      </w:pPr>
      <w:r>
        <w:rPr>
          <w:rFonts w:hint="eastAsia" w:ascii="宋体" w:hAnsi="宋体"/>
          <w:color w:val="000000"/>
          <w:szCs w:val="21"/>
        </w:rPr>
        <w:t>具有履行合同所必需的设备和专业技术能力；</w:t>
      </w:r>
    </w:p>
    <w:p w14:paraId="7BE14334">
      <w:pPr>
        <w:numPr>
          <w:ilvl w:val="0"/>
          <w:numId w:val="8"/>
        </w:numPr>
        <w:adjustRightInd w:val="0"/>
        <w:spacing w:line="360" w:lineRule="auto"/>
        <w:rPr>
          <w:rFonts w:hint="eastAsia" w:ascii="宋体" w:hAnsi="宋体"/>
          <w:color w:val="000000"/>
          <w:szCs w:val="21"/>
        </w:rPr>
      </w:pPr>
      <w:r>
        <w:rPr>
          <w:rFonts w:hint="eastAsia" w:ascii="宋体" w:hAnsi="宋体"/>
          <w:color w:val="000000"/>
          <w:szCs w:val="21"/>
        </w:rPr>
        <w:t>具有依法缴纳税收和社会保障资金的良好记录；</w:t>
      </w:r>
    </w:p>
    <w:p w14:paraId="5D219AAA">
      <w:pPr>
        <w:widowControl/>
        <w:numPr>
          <w:ilvl w:val="0"/>
          <w:numId w:val="8"/>
        </w:numPr>
        <w:shd w:val="clear" w:color="auto" w:fill="FFFFFF"/>
        <w:spacing w:line="360" w:lineRule="auto"/>
        <w:rPr>
          <w:rFonts w:hint="eastAsia" w:ascii="宋体" w:hAnsi="宋体" w:cs="宋体"/>
          <w:color w:val="000000"/>
          <w:szCs w:val="21"/>
        </w:rPr>
      </w:pPr>
      <w:r>
        <w:rPr>
          <w:rFonts w:hint="eastAsia" w:ascii="宋体" w:hAnsi="宋体" w:cs="宋体"/>
          <w:color w:val="000000"/>
          <w:szCs w:val="21"/>
        </w:rPr>
        <w:t>非“信用中国”网站（www.creditchina.gov.cn）中列入失信被执行人、重大税收违法失信主体、政府采购严重违法失信行为记录名单的供应商。</w:t>
      </w:r>
    </w:p>
    <w:p w14:paraId="7A65F02A">
      <w:pPr>
        <w:pStyle w:val="58"/>
        <w:spacing w:line="360" w:lineRule="auto"/>
        <w:rPr>
          <w:rFonts w:hint="eastAsia"/>
          <w:color w:val="000000"/>
        </w:rPr>
      </w:pPr>
      <w:r>
        <w:rPr>
          <w:rFonts w:hint="eastAsia"/>
          <w:color w:val="000000"/>
        </w:rPr>
        <w:t>3.我方愿意向贵方提供任何与本项投标有关的数据、情况和技术资料。若贵方需要，我方愿意提供一切承诺的证明材料。</w:t>
      </w:r>
    </w:p>
    <w:p w14:paraId="6BC3338C">
      <w:pPr>
        <w:pStyle w:val="58"/>
        <w:spacing w:line="360" w:lineRule="auto"/>
        <w:rPr>
          <w:rFonts w:hint="eastAsia"/>
          <w:color w:val="000000"/>
        </w:rPr>
      </w:pPr>
      <w:r>
        <w:rPr>
          <w:rFonts w:hint="eastAsia"/>
          <w:color w:val="000000"/>
        </w:rPr>
        <w:t>4.我方已详细审核全部投标文件，包括投标文件修改书（如有的话）、参考资料及有关附件，确认无误。</w:t>
      </w:r>
    </w:p>
    <w:p w14:paraId="75664A18">
      <w:pPr>
        <w:pStyle w:val="58"/>
        <w:spacing w:line="360" w:lineRule="auto"/>
        <w:rPr>
          <w:rFonts w:hint="eastAsia"/>
          <w:color w:val="000000"/>
        </w:rPr>
      </w:pPr>
      <w:r>
        <w:rPr>
          <w:rFonts w:hint="eastAsia"/>
          <w:color w:val="000000"/>
        </w:rPr>
        <w:t>5.我方承诺：贵方在开标后的一年之内若需追加采购本项目招标文件所列货物（包括同类货物配件）及相关服务的，在不改变合同其他实质性条款的前提下，按相同或更优惠的折扣率保证供货。</w:t>
      </w:r>
    </w:p>
    <w:p w14:paraId="2806BDA1">
      <w:pPr>
        <w:pStyle w:val="58"/>
        <w:spacing w:line="360" w:lineRule="auto"/>
        <w:rPr>
          <w:rFonts w:hint="eastAsia"/>
          <w:color w:val="000000"/>
        </w:rPr>
      </w:pPr>
      <w:r>
        <w:rPr>
          <w:rFonts w:hint="eastAsia"/>
          <w:color w:val="000000"/>
        </w:rPr>
        <w:t>6.如我方出现下列情况之一的，我方提交的投标保证金贵方可不予退还：</w:t>
      </w:r>
    </w:p>
    <w:p w14:paraId="6517F5D9">
      <w:pPr>
        <w:pStyle w:val="58"/>
        <w:spacing w:line="360" w:lineRule="auto"/>
        <w:ind w:firstLine="420" w:firstLineChars="200"/>
        <w:rPr>
          <w:rFonts w:hint="eastAsia"/>
          <w:color w:val="000000"/>
        </w:rPr>
      </w:pPr>
      <w:r>
        <w:rPr>
          <w:rFonts w:hint="eastAsia"/>
          <w:color w:val="000000"/>
        </w:rPr>
        <w:t>（1）我方在提交投标文件截止时间后撤回投标文件的；</w:t>
      </w:r>
    </w:p>
    <w:p w14:paraId="706CD16F">
      <w:pPr>
        <w:pStyle w:val="58"/>
        <w:spacing w:line="360" w:lineRule="auto"/>
        <w:ind w:firstLine="420" w:firstLineChars="200"/>
        <w:rPr>
          <w:rFonts w:hint="eastAsia"/>
          <w:color w:val="000000"/>
        </w:rPr>
      </w:pPr>
      <w:r>
        <w:rPr>
          <w:rFonts w:hint="eastAsia"/>
          <w:color w:val="000000"/>
        </w:rPr>
        <w:t>（2）我方在投标文件中提供虚假材料的；</w:t>
      </w:r>
    </w:p>
    <w:p w14:paraId="382EA1DB">
      <w:pPr>
        <w:pStyle w:val="58"/>
        <w:spacing w:line="360" w:lineRule="auto"/>
        <w:ind w:firstLine="420" w:firstLineChars="200"/>
        <w:rPr>
          <w:rFonts w:hint="eastAsia"/>
          <w:color w:val="000000"/>
        </w:rPr>
      </w:pPr>
      <w:r>
        <w:rPr>
          <w:rFonts w:hint="eastAsia"/>
          <w:color w:val="000000"/>
        </w:rPr>
        <w:t>（3）除因不可抗力或招标文件认可的情形以外，我方不与贵方签订合同的；</w:t>
      </w:r>
    </w:p>
    <w:p w14:paraId="508C4F32">
      <w:pPr>
        <w:pStyle w:val="58"/>
        <w:spacing w:line="360" w:lineRule="auto"/>
        <w:ind w:firstLine="420" w:firstLineChars="200"/>
        <w:rPr>
          <w:rFonts w:hint="eastAsia"/>
          <w:color w:val="000000"/>
        </w:rPr>
      </w:pPr>
      <w:r>
        <w:rPr>
          <w:rFonts w:hint="eastAsia"/>
          <w:color w:val="000000"/>
        </w:rPr>
        <w:t>（4）我方与贵方、其他供应商或者采购代理机构恶意串通的；</w:t>
      </w:r>
    </w:p>
    <w:p w14:paraId="23AE7E92">
      <w:pPr>
        <w:pStyle w:val="58"/>
        <w:spacing w:line="360" w:lineRule="auto"/>
        <w:ind w:firstLine="420" w:firstLineChars="200"/>
        <w:rPr>
          <w:rFonts w:hint="eastAsia"/>
          <w:color w:val="000000"/>
        </w:rPr>
      </w:pPr>
      <w:r>
        <w:rPr>
          <w:rFonts w:hint="eastAsia"/>
          <w:color w:val="000000"/>
        </w:rPr>
        <w:t>（5）国家法律法规和招标文件规定的其他情形。</w:t>
      </w:r>
    </w:p>
    <w:p w14:paraId="663018DD">
      <w:pPr>
        <w:pStyle w:val="58"/>
        <w:spacing w:line="360" w:lineRule="auto"/>
        <w:rPr>
          <w:rFonts w:hint="eastAsia"/>
          <w:color w:val="000000"/>
        </w:rPr>
      </w:pPr>
      <w:r>
        <w:rPr>
          <w:rFonts w:hint="eastAsia"/>
          <w:color w:val="000000"/>
        </w:rPr>
        <w:t>7.我方完全理解并接受最低报价不作为中标的唯一标准，贵方无义务为中标或不中标解释原因。</w:t>
      </w:r>
    </w:p>
    <w:p w14:paraId="45068B64">
      <w:pPr>
        <w:pStyle w:val="58"/>
        <w:spacing w:line="360" w:lineRule="auto"/>
        <w:rPr>
          <w:rFonts w:hint="eastAsia"/>
          <w:color w:val="000000"/>
        </w:rPr>
      </w:pPr>
      <w:r>
        <w:rPr>
          <w:rFonts w:hint="eastAsia"/>
          <w:color w:val="000000"/>
        </w:rPr>
        <w:t>8.保证忠实地执行双方所签订的采购合同，并承担合同规定的责任和义务。</w:t>
      </w:r>
    </w:p>
    <w:p w14:paraId="28574CB4">
      <w:pPr>
        <w:pStyle w:val="58"/>
        <w:spacing w:line="360" w:lineRule="auto"/>
        <w:rPr>
          <w:rFonts w:hint="eastAsia"/>
          <w:color w:val="000000"/>
        </w:rPr>
      </w:pPr>
      <w:r>
        <w:rPr>
          <w:rFonts w:hint="eastAsia"/>
          <w:color w:val="000000"/>
        </w:rPr>
        <w:t>9.我方承诺接受招标文件中的《合同文本》的全部条款且无任何异议。</w:t>
      </w:r>
    </w:p>
    <w:p w14:paraId="345D57B6">
      <w:pPr>
        <w:pStyle w:val="58"/>
        <w:spacing w:line="360" w:lineRule="auto"/>
        <w:rPr>
          <w:rFonts w:hint="eastAsia"/>
          <w:color w:val="000000"/>
        </w:rPr>
      </w:pPr>
      <w:r>
        <w:rPr>
          <w:rFonts w:hint="eastAsia"/>
          <w:color w:val="000000"/>
        </w:rPr>
        <w:t>10.我方将严格遵守相关法律法规及有关规定，若有下列情形之一的，我方无条件接受贵方单方无条件取消我方中标资格或终止与我方的项目合同，并接受贵方对我方作出的限期改正、限期或永久被禁止参与贵方组织的集中采购活动的决定，且我方愿意承担相应的法律责任：</w:t>
      </w:r>
    </w:p>
    <w:p w14:paraId="40B92708">
      <w:pPr>
        <w:spacing w:line="360" w:lineRule="auto"/>
        <w:ind w:firstLine="420" w:firstLineChars="200"/>
        <w:rPr>
          <w:rFonts w:hint="eastAsia" w:ascii="宋体" w:hAnsi="宋体"/>
          <w:color w:val="000000"/>
          <w:kern w:val="0"/>
          <w:szCs w:val="21"/>
        </w:rPr>
      </w:pPr>
      <w:r>
        <w:rPr>
          <w:rFonts w:hint="eastAsia" w:ascii="宋体" w:hAnsi="宋体"/>
          <w:color w:val="000000"/>
        </w:rPr>
        <w:t>（1）</w:t>
      </w:r>
      <w:r>
        <w:rPr>
          <w:rFonts w:hint="eastAsia" w:ascii="宋体" w:hAnsi="宋体"/>
          <w:color w:val="000000"/>
          <w:kern w:val="0"/>
          <w:szCs w:val="21"/>
        </w:rPr>
        <w:t>在准入报名及参与采购项目过程中提供材料不真实或无效的；</w:t>
      </w:r>
    </w:p>
    <w:p w14:paraId="0E21BFD4">
      <w:pPr>
        <w:spacing w:line="360" w:lineRule="auto"/>
        <w:ind w:firstLine="420" w:firstLineChars="200"/>
        <w:rPr>
          <w:rFonts w:hint="eastAsia" w:ascii="宋体" w:hAnsi="宋体"/>
          <w:color w:val="000000"/>
          <w:kern w:val="0"/>
          <w:szCs w:val="21"/>
        </w:rPr>
      </w:pPr>
      <w:r>
        <w:rPr>
          <w:rFonts w:hint="eastAsia" w:ascii="宋体" w:hAnsi="宋体"/>
          <w:color w:val="000000"/>
        </w:rPr>
        <w:t>（2）</w:t>
      </w:r>
      <w:r>
        <w:rPr>
          <w:rFonts w:hint="eastAsia" w:ascii="宋体" w:hAnsi="宋体"/>
          <w:color w:val="000000"/>
          <w:kern w:val="0"/>
          <w:szCs w:val="21"/>
        </w:rPr>
        <w:t>在参与采购活动中，采取不正当手段诋毁、排挤其他供应商的，采用围标、串标、串通、行贿等不正当手段谋取中标、成交的；</w:t>
      </w:r>
    </w:p>
    <w:p w14:paraId="03465ECC">
      <w:pPr>
        <w:spacing w:line="360" w:lineRule="auto"/>
        <w:ind w:firstLine="420" w:firstLineChars="200"/>
        <w:rPr>
          <w:rFonts w:hint="eastAsia" w:ascii="宋体" w:hAnsi="宋体"/>
          <w:color w:val="000000"/>
          <w:kern w:val="0"/>
          <w:szCs w:val="21"/>
        </w:rPr>
      </w:pPr>
      <w:r>
        <w:rPr>
          <w:rFonts w:hint="eastAsia" w:ascii="宋体" w:hAnsi="宋体"/>
          <w:color w:val="000000"/>
        </w:rPr>
        <w:t>（3）</w:t>
      </w:r>
      <w:r>
        <w:rPr>
          <w:rFonts w:hint="eastAsia" w:ascii="宋体" w:hAnsi="宋体"/>
          <w:color w:val="000000"/>
          <w:kern w:val="0"/>
          <w:szCs w:val="21"/>
        </w:rPr>
        <w:t>在投标文件有效期内擅自撤销投标文件的；</w:t>
      </w:r>
    </w:p>
    <w:p w14:paraId="14BC5F69">
      <w:pPr>
        <w:spacing w:line="360" w:lineRule="auto"/>
        <w:ind w:firstLine="420" w:firstLineChars="200"/>
        <w:rPr>
          <w:rFonts w:hint="eastAsia" w:ascii="宋体" w:hAnsi="宋体"/>
          <w:color w:val="000000"/>
          <w:kern w:val="0"/>
          <w:szCs w:val="21"/>
        </w:rPr>
      </w:pPr>
      <w:r>
        <w:rPr>
          <w:rFonts w:hint="eastAsia" w:ascii="宋体" w:hAnsi="宋体"/>
          <w:color w:val="000000"/>
        </w:rPr>
        <w:t>（4）</w:t>
      </w:r>
      <w:r>
        <w:rPr>
          <w:rFonts w:hint="eastAsia" w:ascii="宋体" w:hAnsi="宋体"/>
          <w:color w:val="000000"/>
          <w:kern w:val="0"/>
          <w:szCs w:val="21"/>
        </w:rPr>
        <w:t>在开标、评审现场，不遵守现场纪律，影响采购活动进行的；</w:t>
      </w:r>
    </w:p>
    <w:p w14:paraId="537564E3">
      <w:pPr>
        <w:spacing w:line="360" w:lineRule="auto"/>
        <w:ind w:firstLine="420" w:firstLineChars="200"/>
        <w:rPr>
          <w:rFonts w:hint="eastAsia" w:ascii="宋体" w:hAnsi="宋体"/>
          <w:color w:val="000000"/>
          <w:kern w:val="0"/>
          <w:szCs w:val="21"/>
        </w:rPr>
      </w:pPr>
      <w:r>
        <w:rPr>
          <w:rFonts w:hint="eastAsia" w:ascii="宋体" w:hAnsi="宋体"/>
          <w:color w:val="000000"/>
        </w:rPr>
        <w:t>（5）</w:t>
      </w:r>
      <w:r>
        <w:rPr>
          <w:rFonts w:hint="eastAsia" w:ascii="宋体" w:hAnsi="宋体"/>
          <w:color w:val="000000"/>
          <w:kern w:val="0"/>
          <w:szCs w:val="21"/>
        </w:rPr>
        <w:t>合同谈判时不能有效兑现投标文件承诺的；中标后拒绝与贵方签订合同的；</w:t>
      </w:r>
    </w:p>
    <w:p w14:paraId="704ED784">
      <w:pPr>
        <w:spacing w:line="360" w:lineRule="auto"/>
        <w:ind w:firstLine="420" w:firstLineChars="200"/>
        <w:rPr>
          <w:rFonts w:hint="eastAsia" w:ascii="宋体" w:hAnsi="宋体"/>
          <w:color w:val="000000"/>
          <w:kern w:val="0"/>
          <w:szCs w:val="21"/>
        </w:rPr>
      </w:pPr>
      <w:r>
        <w:rPr>
          <w:rFonts w:hint="eastAsia" w:ascii="宋体" w:hAnsi="宋体"/>
          <w:color w:val="000000"/>
        </w:rPr>
        <w:t>（6）</w:t>
      </w:r>
      <w:r>
        <w:rPr>
          <w:rFonts w:hint="eastAsia" w:ascii="宋体" w:hAnsi="宋体"/>
          <w:color w:val="000000"/>
          <w:kern w:val="0"/>
          <w:szCs w:val="21"/>
        </w:rPr>
        <w:t>在无举证的情况下，质疑、投诉其他供应商的；</w:t>
      </w:r>
    </w:p>
    <w:p w14:paraId="6D10B8A9">
      <w:pPr>
        <w:spacing w:line="360" w:lineRule="auto"/>
        <w:ind w:firstLine="420" w:firstLineChars="200"/>
        <w:rPr>
          <w:rFonts w:hint="eastAsia" w:ascii="宋体" w:hAnsi="宋体"/>
          <w:color w:val="000000"/>
          <w:kern w:val="0"/>
          <w:szCs w:val="21"/>
        </w:rPr>
      </w:pPr>
      <w:r>
        <w:rPr>
          <w:rFonts w:hint="eastAsia" w:ascii="宋体" w:hAnsi="宋体"/>
          <w:color w:val="000000"/>
        </w:rPr>
        <w:t>（7）</w:t>
      </w:r>
      <w:r>
        <w:rPr>
          <w:rFonts w:hint="eastAsia" w:ascii="宋体" w:hAnsi="宋体"/>
          <w:color w:val="000000"/>
          <w:szCs w:val="21"/>
        </w:rPr>
        <w:t>在贵方处理质疑过程中陈述虚假情况或提供虚假材料的；</w:t>
      </w:r>
    </w:p>
    <w:p w14:paraId="4A4CDD6A">
      <w:pPr>
        <w:spacing w:line="360" w:lineRule="auto"/>
        <w:ind w:firstLine="420" w:firstLineChars="200"/>
        <w:rPr>
          <w:rFonts w:hint="eastAsia" w:ascii="宋体" w:hAnsi="宋体"/>
          <w:color w:val="000000"/>
          <w:kern w:val="0"/>
          <w:szCs w:val="21"/>
        </w:rPr>
      </w:pPr>
      <w:r>
        <w:rPr>
          <w:rFonts w:hint="eastAsia" w:ascii="宋体" w:hAnsi="宋体"/>
          <w:color w:val="000000"/>
        </w:rPr>
        <w:t>（8）</w:t>
      </w:r>
      <w:r>
        <w:rPr>
          <w:rFonts w:hint="eastAsia" w:ascii="宋体" w:hAnsi="宋体"/>
          <w:color w:val="000000"/>
          <w:kern w:val="0"/>
          <w:szCs w:val="21"/>
        </w:rPr>
        <w:t>在采购或合同谈判过程中，未如实反映经营状况重大变化、重大合同纠纷或诉讼、信用等级和资质变化等可能影响履约能力的重大事项的，或因重大不良行为受到行政处罚或者司法处理的。</w:t>
      </w:r>
    </w:p>
    <w:p w14:paraId="5D819E0D">
      <w:pPr>
        <w:spacing w:line="360" w:lineRule="auto"/>
        <w:ind w:firstLine="420" w:firstLineChars="200"/>
        <w:rPr>
          <w:rFonts w:hint="eastAsia" w:ascii="宋体" w:hAnsi="宋体"/>
          <w:color w:val="000000"/>
          <w:kern w:val="0"/>
          <w:szCs w:val="21"/>
        </w:rPr>
      </w:pPr>
    </w:p>
    <w:p w14:paraId="5F1ADBCF">
      <w:pPr>
        <w:spacing w:line="360" w:lineRule="auto"/>
        <w:ind w:firstLine="420"/>
        <w:rPr>
          <w:rFonts w:hint="eastAsia" w:ascii="宋体" w:hAnsi="宋体"/>
          <w:color w:val="000000"/>
          <w:szCs w:val="21"/>
        </w:rPr>
      </w:pPr>
      <w:r>
        <w:rPr>
          <w:rFonts w:hint="eastAsia" w:ascii="宋体" w:hAnsi="宋体"/>
          <w:color w:val="000000"/>
          <w:szCs w:val="21"/>
        </w:rPr>
        <w:t>与本投标有关的一切往来通讯请寄：</w:t>
      </w:r>
    </w:p>
    <w:p w14:paraId="408027A4">
      <w:pPr>
        <w:spacing w:line="360" w:lineRule="auto"/>
        <w:ind w:firstLine="420" w:firstLineChars="200"/>
        <w:rPr>
          <w:rFonts w:hint="eastAsia" w:ascii="宋体" w:hAnsi="宋体"/>
          <w:color w:val="000000"/>
          <w:szCs w:val="21"/>
        </w:rPr>
      </w:pPr>
      <w:r>
        <w:rPr>
          <w:rFonts w:hint="eastAsia" w:ascii="宋体" w:hAnsi="宋体"/>
          <w:color w:val="000000"/>
          <w:szCs w:val="21"/>
        </w:rPr>
        <w:t>地址：</w:t>
      </w:r>
      <w:r>
        <w:rPr>
          <w:rFonts w:hint="eastAsia" w:ascii="宋体" w:hAnsi="宋体"/>
          <w:color w:val="000000"/>
          <w:szCs w:val="21"/>
          <w:u w:val="none"/>
        </w:rPr>
        <w:t>____________________________________________________</w:t>
      </w:r>
    </w:p>
    <w:p w14:paraId="22EA4D2F">
      <w:pPr>
        <w:tabs>
          <w:tab w:val="left" w:pos="480"/>
        </w:tabs>
        <w:spacing w:line="360" w:lineRule="auto"/>
        <w:ind w:firstLine="420" w:firstLineChars="200"/>
        <w:rPr>
          <w:rFonts w:hint="eastAsia" w:ascii="宋体" w:hAnsi="宋体"/>
          <w:color w:val="000000"/>
          <w:szCs w:val="21"/>
        </w:rPr>
      </w:pPr>
      <w:r>
        <w:rPr>
          <w:rFonts w:hint="eastAsia" w:ascii="宋体" w:hAnsi="宋体"/>
          <w:color w:val="000000"/>
          <w:szCs w:val="21"/>
        </w:rPr>
        <w:t>邮编：</w:t>
      </w:r>
      <w:r>
        <w:rPr>
          <w:rFonts w:hint="eastAsia" w:ascii="宋体" w:hAnsi="宋体"/>
          <w:b w:val="0"/>
          <w:bCs/>
          <w:color w:val="000000"/>
          <w:szCs w:val="21"/>
          <w:u w:val="none"/>
        </w:rPr>
        <w:t>____________</w:t>
      </w:r>
    </w:p>
    <w:p w14:paraId="6899BC68">
      <w:pPr>
        <w:tabs>
          <w:tab w:val="left" w:pos="480"/>
        </w:tabs>
        <w:spacing w:line="360" w:lineRule="auto"/>
        <w:ind w:firstLine="420" w:firstLineChars="200"/>
        <w:rPr>
          <w:rFonts w:hint="eastAsia" w:ascii="宋体" w:hAnsi="宋体"/>
          <w:color w:val="000000"/>
          <w:szCs w:val="21"/>
        </w:rPr>
      </w:pPr>
      <w:r>
        <w:rPr>
          <w:rFonts w:hint="eastAsia" w:ascii="宋体" w:hAnsi="宋体"/>
          <w:color w:val="000000"/>
          <w:szCs w:val="21"/>
        </w:rPr>
        <w:t>电话：</w:t>
      </w:r>
      <w:r>
        <w:rPr>
          <w:rFonts w:hint="eastAsia" w:ascii="宋体" w:hAnsi="宋体"/>
          <w:color w:val="000000"/>
          <w:szCs w:val="21"/>
          <w:u w:val="none"/>
        </w:rPr>
        <w:t>____________</w:t>
      </w:r>
    </w:p>
    <w:p w14:paraId="5E42C69A">
      <w:pPr>
        <w:tabs>
          <w:tab w:val="left" w:pos="480"/>
        </w:tabs>
        <w:spacing w:line="360" w:lineRule="auto"/>
        <w:ind w:firstLine="420" w:firstLineChars="200"/>
        <w:rPr>
          <w:rFonts w:hint="eastAsia" w:ascii="宋体" w:hAnsi="宋体"/>
          <w:color w:val="000000"/>
          <w:szCs w:val="21"/>
        </w:rPr>
      </w:pPr>
      <w:r>
        <w:rPr>
          <w:rFonts w:hint="eastAsia" w:ascii="宋体" w:hAnsi="宋体"/>
          <w:color w:val="000000"/>
          <w:szCs w:val="21"/>
        </w:rPr>
        <w:t>传真：</w:t>
      </w:r>
      <w:r>
        <w:rPr>
          <w:rFonts w:hint="eastAsia" w:ascii="宋体" w:hAnsi="宋体"/>
          <w:color w:val="000000"/>
          <w:szCs w:val="21"/>
          <w:u w:val="none"/>
        </w:rPr>
        <w:t>____________</w:t>
      </w:r>
    </w:p>
    <w:p w14:paraId="64221002">
      <w:pPr>
        <w:tabs>
          <w:tab w:val="left" w:pos="480"/>
        </w:tabs>
        <w:spacing w:line="360" w:lineRule="auto"/>
        <w:ind w:firstLine="420" w:firstLineChars="200"/>
        <w:rPr>
          <w:rFonts w:hint="eastAsia" w:ascii="宋体" w:hAnsi="宋体"/>
          <w:color w:val="000000"/>
          <w:szCs w:val="21"/>
          <w:u w:val="single"/>
        </w:rPr>
      </w:pPr>
      <w:r>
        <w:rPr>
          <w:rFonts w:hint="eastAsia" w:ascii="宋体" w:hAnsi="宋体"/>
          <w:color w:val="000000"/>
          <w:szCs w:val="21"/>
        </w:rPr>
        <w:t>投标人代表姓名：</w:t>
      </w:r>
      <w:r>
        <w:rPr>
          <w:rFonts w:hint="eastAsia" w:ascii="宋体" w:hAnsi="宋体"/>
          <w:color w:val="000000"/>
          <w:szCs w:val="21"/>
          <w:u w:val="single"/>
        </w:rPr>
        <w:t xml:space="preserve">              </w:t>
      </w:r>
    </w:p>
    <w:p w14:paraId="513FE788">
      <w:pPr>
        <w:tabs>
          <w:tab w:val="left" w:pos="480"/>
        </w:tabs>
        <w:spacing w:line="360" w:lineRule="auto"/>
        <w:ind w:firstLine="420" w:firstLineChars="200"/>
        <w:rPr>
          <w:rFonts w:hint="eastAsia" w:ascii="宋体" w:hAnsi="宋体"/>
          <w:color w:val="000000"/>
          <w:szCs w:val="21"/>
        </w:rPr>
      </w:pPr>
      <w:r>
        <w:rPr>
          <w:rFonts w:hint="eastAsia" w:ascii="宋体" w:hAnsi="宋体"/>
          <w:color w:val="000000"/>
          <w:szCs w:val="21"/>
        </w:rPr>
        <w:t>投标人代表联系电话：</w:t>
      </w:r>
      <w:r>
        <w:rPr>
          <w:rFonts w:hint="eastAsia" w:ascii="宋体" w:hAnsi="宋体"/>
          <w:color w:val="000000"/>
          <w:szCs w:val="21"/>
          <w:u w:val="single"/>
        </w:rPr>
        <w:t xml:space="preserve">                   </w:t>
      </w:r>
      <w:r>
        <w:rPr>
          <w:rFonts w:hint="eastAsia" w:ascii="宋体" w:hAnsi="宋体"/>
          <w:color w:val="000000"/>
          <w:szCs w:val="21"/>
        </w:rPr>
        <w:t>，e-mail：</w:t>
      </w:r>
      <w:r>
        <w:rPr>
          <w:rFonts w:hint="eastAsia" w:ascii="宋体" w:hAnsi="宋体"/>
          <w:color w:val="000000"/>
          <w:szCs w:val="21"/>
          <w:u w:val="single"/>
        </w:rPr>
        <w:t xml:space="preserve">               </w:t>
      </w:r>
    </w:p>
    <w:p w14:paraId="74D75A93">
      <w:pPr>
        <w:spacing w:line="360" w:lineRule="auto"/>
        <w:rPr>
          <w:rFonts w:hint="eastAsia" w:ascii="宋体" w:hAnsi="宋体"/>
          <w:color w:val="000000"/>
          <w:szCs w:val="21"/>
        </w:rPr>
      </w:pPr>
    </w:p>
    <w:p w14:paraId="7C399487">
      <w:pPr>
        <w:tabs>
          <w:tab w:val="left" w:pos="1200"/>
        </w:tabs>
        <w:spacing w:line="360" w:lineRule="auto"/>
        <w:rPr>
          <w:rFonts w:hint="eastAsia" w:ascii="宋体" w:hAnsi="宋体"/>
          <w:color w:val="000000"/>
          <w:szCs w:val="21"/>
        </w:rPr>
      </w:pPr>
      <w:r>
        <w:rPr>
          <w:rFonts w:hint="eastAsia" w:ascii="宋体" w:hAnsi="宋体"/>
          <w:color w:val="000000"/>
          <w:szCs w:val="21"/>
        </w:rPr>
        <w:tab/>
      </w:r>
      <w:r>
        <w:rPr>
          <w:rFonts w:hint="eastAsia" w:ascii="宋体" w:hAnsi="宋体"/>
          <w:color w:val="000000"/>
          <w:szCs w:val="21"/>
        </w:rPr>
        <w:t>投标人（公章）：</w:t>
      </w:r>
    </w:p>
    <w:p w14:paraId="49B6A41F">
      <w:pPr>
        <w:tabs>
          <w:tab w:val="left" w:pos="1200"/>
        </w:tabs>
        <w:spacing w:line="360" w:lineRule="auto"/>
        <w:rPr>
          <w:rFonts w:hint="eastAsia" w:ascii="宋体" w:hAnsi="宋体"/>
          <w:color w:val="000000"/>
          <w:szCs w:val="21"/>
        </w:rPr>
      </w:pPr>
    </w:p>
    <w:p w14:paraId="6BD2B021">
      <w:pPr>
        <w:tabs>
          <w:tab w:val="left" w:pos="1200"/>
        </w:tabs>
        <w:spacing w:line="360" w:lineRule="auto"/>
        <w:rPr>
          <w:rFonts w:hint="eastAsia" w:ascii="宋体" w:hAnsi="宋体"/>
          <w:color w:val="000000"/>
          <w:szCs w:val="21"/>
        </w:rPr>
      </w:pPr>
      <w:r>
        <w:rPr>
          <w:rFonts w:hint="eastAsia" w:ascii="宋体" w:hAnsi="宋体"/>
          <w:color w:val="000000"/>
          <w:szCs w:val="21"/>
        </w:rPr>
        <w:tab/>
      </w:r>
      <w:r>
        <w:rPr>
          <w:rFonts w:hint="eastAsia" w:ascii="宋体" w:hAnsi="宋体"/>
          <w:color w:val="000000"/>
          <w:szCs w:val="21"/>
        </w:rPr>
        <w:t>投标人代表（签字或人名章）：</w:t>
      </w:r>
    </w:p>
    <w:p w14:paraId="25725485">
      <w:pPr>
        <w:tabs>
          <w:tab w:val="left" w:pos="1200"/>
        </w:tabs>
        <w:spacing w:line="360" w:lineRule="auto"/>
        <w:rPr>
          <w:rFonts w:hint="eastAsia" w:ascii="宋体" w:hAnsi="宋体"/>
          <w:color w:val="000000"/>
          <w:szCs w:val="21"/>
        </w:rPr>
      </w:pPr>
    </w:p>
    <w:p w14:paraId="680F7FD0">
      <w:pPr>
        <w:tabs>
          <w:tab w:val="left" w:pos="1200"/>
        </w:tabs>
        <w:spacing w:line="360" w:lineRule="auto"/>
        <w:rPr>
          <w:rFonts w:hint="eastAsia" w:ascii="宋体" w:hAnsi="宋体"/>
          <w:color w:val="000000"/>
          <w:szCs w:val="21"/>
        </w:rPr>
      </w:pPr>
      <w:r>
        <w:rPr>
          <w:rFonts w:hint="eastAsia" w:ascii="宋体" w:hAnsi="宋体"/>
          <w:color w:val="000000"/>
          <w:szCs w:val="21"/>
        </w:rPr>
        <w:tab/>
      </w:r>
      <w:r>
        <w:rPr>
          <w:rFonts w:hint="eastAsia" w:ascii="宋体" w:hAnsi="宋体"/>
          <w:color w:val="000000"/>
          <w:szCs w:val="21"/>
        </w:rPr>
        <w:t>日　期：</w:t>
      </w:r>
    </w:p>
    <w:p w14:paraId="63C3A672">
      <w:pPr>
        <w:spacing w:line="360" w:lineRule="auto"/>
        <w:rPr>
          <w:rFonts w:hint="eastAsia" w:ascii="宋体" w:hAnsi="宋体"/>
          <w:color w:val="000000"/>
          <w:szCs w:val="21"/>
        </w:rPr>
      </w:pPr>
    </w:p>
    <w:p w14:paraId="60756E53">
      <w:pPr>
        <w:spacing w:line="360" w:lineRule="auto"/>
        <w:ind w:left="420" w:hanging="420" w:hangingChars="200"/>
        <w:rPr>
          <w:rFonts w:hint="eastAsia" w:ascii="宋体" w:hAnsi="宋体"/>
          <w:color w:val="000000"/>
          <w:szCs w:val="21"/>
        </w:rPr>
      </w:pPr>
      <w:r>
        <w:rPr>
          <w:rFonts w:hint="eastAsia" w:ascii="宋体" w:hAnsi="宋体"/>
          <w:color w:val="000000"/>
          <w:szCs w:val="21"/>
        </w:rPr>
        <w:t>注：除可填报项目外，对本投标函的任何修改将被视为非实质性响应投标，从而可能导致该投标被拒绝。</w:t>
      </w:r>
    </w:p>
    <w:p w14:paraId="12E55E37">
      <w:pPr>
        <w:spacing w:line="360" w:lineRule="auto"/>
        <w:rPr>
          <w:rFonts w:hint="eastAsia" w:ascii="宋体" w:hAnsi="宋体"/>
          <w:color w:val="000000"/>
          <w:szCs w:val="21"/>
        </w:rPr>
      </w:pPr>
    </w:p>
    <w:p w14:paraId="13A0F83B">
      <w:pPr>
        <w:pStyle w:val="4"/>
        <w:rPr>
          <w:rFonts w:hint="eastAsia" w:eastAsia="宋体"/>
          <w:color w:val="000000"/>
        </w:rPr>
      </w:pPr>
      <w:r>
        <w:rPr>
          <w:rFonts w:hint="eastAsia" w:eastAsia="宋体"/>
          <w:color w:val="000000"/>
        </w:rPr>
        <w:t>5.2.2 *法定代表人授权委托书（如投标人代表不是法定代表人本人的，须提供此委托书，开标登记时应提供一份原件）</w:t>
      </w:r>
    </w:p>
    <w:p w14:paraId="0F9FA89F">
      <w:pPr>
        <w:spacing w:line="360" w:lineRule="auto"/>
        <w:rPr>
          <w:rFonts w:hint="eastAsia" w:ascii="宋体" w:hAnsi="宋体"/>
          <w:color w:val="000000"/>
          <w:szCs w:val="21"/>
        </w:rPr>
      </w:pPr>
      <w:r>
        <w:rPr>
          <w:rFonts w:hint="eastAsia" w:ascii="宋体" w:hAnsi="宋体"/>
          <w:color w:val="000000"/>
          <w:szCs w:val="21"/>
          <w:u w:val="single"/>
          <w:lang w:val="en-US" w:eastAsia="zh-CN"/>
        </w:rPr>
        <w:t>中国机械科学研究总院集团有限公司</w:t>
      </w:r>
      <w:r>
        <w:rPr>
          <w:rFonts w:hint="eastAsia" w:ascii="宋体" w:hAnsi="宋体"/>
          <w:color w:val="000000"/>
          <w:szCs w:val="21"/>
          <w:u w:val="single"/>
        </w:rPr>
        <w:t>：</w:t>
      </w:r>
    </w:p>
    <w:p w14:paraId="70039E7D">
      <w:pPr>
        <w:spacing w:line="360" w:lineRule="auto"/>
        <w:ind w:firstLine="420" w:firstLineChars="200"/>
        <w:rPr>
          <w:rFonts w:hint="eastAsia" w:ascii="宋体" w:hAnsi="宋体"/>
          <w:color w:val="000000"/>
          <w:szCs w:val="21"/>
        </w:rPr>
      </w:pPr>
      <w:r>
        <w:rPr>
          <w:rFonts w:hint="eastAsia" w:ascii="宋体" w:hAnsi="宋体"/>
          <w:color w:val="000000"/>
          <w:szCs w:val="21"/>
        </w:rPr>
        <w:t>本授权书声明：注册于</w:t>
      </w:r>
      <w:r>
        <w:rPr>
          <w:rFonts w:hint="eastAsia" w:ascii="宋体" w:hAnsi="宋体"/>
          <w:color w:val="000000"/>
          <w:szCs w:val="21"/>
          <w:u w:val="single"/>
        </w:rPr>
        <w:t xml:space="preserve">            </w:t>
      </w:r>
      <w:r>
        <w:rPr>
          <w:rFonts w:hint="eastAsia" w:ascii="宋体" w:hAnsi="宋体"/>
          <w:color w:val="000000"/>
          <w:szCs w:val="21"/>
        </w:rPr>
        <w:t>（投标人住址）的</w:t>
      </w:r>
      <w:r>
        <w:rPr>
          <w:rFonts w:hint="eastAsia" w:ascii="宋体" w:hAnsi="宋体"/>
          <w:color w:val="000000"/>
          <w:szCs w:val="21"/>
          <w:u w:val="single"/>
        </w:rPr>
        <w:t xml:space="preserve">            </w:t>
      </w:r>
      <w:r>
        <w:rPr>
          <w:rFonts w:hint="eastAsia" w:ascii="宋体" w:hAnsi="宋体"/>
          <w:color w:val="000000"/>
          <w:szCs w:val="21"/>
        </w:rPr>
        <w:t>（投标人名称）法定代表人</w:t>
      </w:r>
      <w:r>
        <w:rPr>
          <w:rFonts w:hint="eastAsia" w:ascii="宋体" w:hAnsi="宋体"/>
          <w:color w:val="000000"/>
          <w:szCs w:val="21"/>
          <w:u w:val="single"/>
        </w:rPr>
        <w:t xml:space="preserve">            </w:t>
      </w:r>
      <w:r>
        <w:rPr>
          <w:rFonts w:hint="eastAsia" w:ascii="宋体" w:hAnsi="宋体"/>
          <w:color w:val="000000"/>
          <w:szCs w:val="21"/>
        </w:rPr>
        <w:t>（法定代表人姓名、职务）代表本公司授权在下面签字的</w:t>
      </w:r>
      <w:r>
        <w:rPr>
          <w:rFonts w:hint="eastAsia" w:ascii="宋体" w:hAnsi="宋体"/>
          <w:color w:val="000000"/>
          <w:szCs w:val="21"/>
          <w:u w:val="single"/>
        </w:rPr>
        <w:t xml:space="preserve">          </w:t>
      </w:r>
      <w:r>
        <w:rPr>
          <w:rFonts w:hint="eastAsia" w:ascii="宋体" w:hAnsi="宋体"/>
          <w:color w:val="000000"/>
          <w:szCs w:val="21"/>
        </w:rPr>
        <w:t>（投标人代表姓名、职务）为本公司的合法代理人，就贵方组织的</w:t>
      </w:r>
      <w:r>
        <w:rPr>
          <w:rFonts w:hint="eastAsia" w:ascii="宋体" w:hAnsi="宋体"/>
          <w:b/>
          <w:color w:val="000000"/>
          <w:szCs w:val="21"/>
          <w:u w:val="single"/>
        </w:rPr>
        <w:t xml:space="preserve">                    </w:t>
      </w:r>
      <w:r>
        <w:rPr>
          <w:rFonts w:hint="eastAsia" w:ascii="宋体" w:hAnsi="宋体"/>
          <w:b/>
          <w:color w:val="000000"/>
          <w:szCs w:val="21"/>
        </w:rPr>
        <w:t xml:space="preserve"> </w:t>
      </w:r>
      <w:r>
        <w:rPr>
          <w:rFonts w:hint="eastAsia" w:ascii="宋体" w:hAnsi="宋体"/>
          <w:color w:val="000000"/>
          <w:szCs w:val="21"/>
        </w:rPr>
        <w:t>项目，项目编号：</w:t>
      </w:r>
      <w:r>
        <w:rPr>
          <w:rFonts w:hint="eastAsia" w:ascii="宋体" w:hAnsi="宋体"/>
          <w:b/>
          <w:color w:val="000000"/>
          <w:szCs w:val="21"/>
          <w:u w:val="single"/>
        </w:rPr>
        <w:t xml:space="preserve">                </w:t>
      </w:r>
      <w:r>
        <w:rPr>
          <w:rFonts w:hint="eastAsia" w:ascii="宋体" w:hAnsi="宋体"/>
          <w:color w:val="000000"/>
          <w:szCs w:val="21"/>
        </w:rPr>
        <w:t>，以本公司名义处理一切与之有关的事务。</w:t>
      </w:r>
    </w:p>
    <w:p w14:paraId="0647DA8B">
      <w:pPr>
        <w:spacing w:line="360" w:lineRule="auto"/>
        <w:ind w:firstLine="420" w:firstLineChars="200"/>
        <w:rPr>
          <w:rFonts w:hint="eastAsia" w:ascii="宋体" w:hAnsi="宋体"/>
          <w:color w:val="000000"/>
          <w:szCs w:val="21"/>
        </w:rPr>
      </w:pPr>
      <w:r>
        <w:rPr>
          <w:rFonts w:hint="eastAsia" w:ascii="宋体" w:hAnsi="宋体"/>
          <w:color w:val="000000"/>
          <w:szCs w:val="21"/>
        </w:rPr>
        <w:t>本授权书于    年  月  日签字生效，特此声明。</w:t>
      </w:r>
    </w:p>
    <w:p w14:paraId="7E464A6D">
      <w:pPr>
        <w:spacing w:line="360" w:lineRule="auto"/>
        <w:rPr>
          <w:rFonts w:hint="eastAsia" w:ascii="宋体" w:hAnsi="宋体"/>
          <w:color w:val="000000"/>
          <w:szCs w:val="21"/>
        </w:rPr>
      </w:pPr>
    </w:p>
    <w:p w14:paraId="7592CE0E">
      <w:pPr>
        <w:spacing w:line="360" w:lineRule="auto"/>
        <w:ind w:firstLine="420" w:firstLineChars="200"/>
        <w:rPr>
          <w:rFonts w:hint="eastAsia" w:ascii="宋体" w:hAnsi="宋体"/>
          <w:color w:val="000000"/>
          <w:szCs w:val="21"/>
        </w:rPr>
      </w:pPr>
      <w:r>
        <w:rPr>
          <w:rFonts w:hint="eastAsia" w:ascii="宋体" w:hAnsi="宋体"/>
          <w:color w:val="000000"/>
          <w:szCs w:val="21"/>
        </w:rPr>
        <w:t>法定代表人印刷体姓名：</w:t>
      </w:r>
      <w:r>
        <w:rPr>
          <w:rFonts w:hint="eastAsia" w:ascii="宋体" w:hAnsi="宋体"/>
          <w:color w:val="000000"/>
          <w:szCs w:val="21"/>
          <w:u w:val="single"/>
        </w:rPr>
        <w:t xml:space="preserve">               </w:t>
      </w:r>
      <w:r>
        <w:rPr>
          <w:rFonts w:hint="eastAsia" w:ascii="宋体" w:hAnsi="宋体"/>
          <w:color w:val="000000"/>
          <w:szCs w:val="21"/>
        </w:rPr>
        <w:t xml:space="preserve">        签字或人名章：</w:t>
      </w:r>
      <w:r>
        <w:rPr>
          <w:rFonts w:hint="eastAsia" w:ascii="宋体" w:hAnsi="宋体"/>
          <w:color w:val="000000"/>
          <w:szCs w:val="21"/>
          <w:u w:val="single"/>
        </w:rPr>
        <w:t xml:space="preserve">               </w:t>
      </w:r>
    </w:p>
    <w:p w14:paraId="407648D2">
      <w:pPr>
        <w:spacing w:line="360" w:lineRule="auto"/>
        <w:ind w:firstLine="420"/>
        <w:rPr>
          <w:rFonts w:hint="eastAsia" w:ascii="宋体" w:hAnsi="宋体"/>
          <w:color w:val="000000"/>
          <w:szCs w:val="21"/>
        </w:rPr>
      </w:pPr>
      <w:r>
        <w:rPr>
          <w:rFonts w:hint="eastAsia" w:ascii="宋体" w:hAnsi="宋体"/>
          <w:color w:val="000000"/>
          <w:szCs w:val="21"/>
        </w:rPr>
        <w:t>投标人代表印刷体姓名：</w:t>
      </w:r>
      <w:r>
        <w:rPr>
          <w:rFonts w:hint="eastAsia" w:ascii="宋体" w:hAnsi="宋体"/>
          <w:color w:val="000000"/>
          <w:szCs w:val="21"/>
          <w:u w:val="single"/>
        </w:rPr>
        <w:t xml:space="preserve">               </w:t>
      </w:r>
      <w:r>
        <w:rPr>
          <w:rFonts w:hint="eastAsia" w:ascii="宋体" w:hAnsi="宋体"/>
          <w:color w:val="000000"/>
          <w:szCs w:val="21"/>
        </w:rPr>
        <w:t xml:space="preserve">        签字或人名章：</w:t>
      </w:r>
      <w:r>
        <w:rPr>
          <w:rFonts w:hint="eastAsia" w:ascii="宋体" w:hAnsi="宋体"/>
          <w:color w:val="000000"/>
          <w:szCs w:val="21"/>
          <w:u w:val="single"/>
        </w:rPr>
        <w:t xml:space="preserve">               </w:t>
      </w:r>
    </w:p>
    <w:p w14:paraId="471EF589">
      <w:pPr>
        <w:spacing w:line="360" w:lineRule="auto"/>
        <w:ind w:firstLine="420"/>
        <w:rPr>
          <w:rFonts w:hint="eastAsia" w:ascii="宋体" w:hAnsi="宋体"/>
          <w:color w:val="000000"/>
          <w:szCs w:val="21"/>
          <w:u w:val="single"/>
        </w:rPr>
      </w:pPr>
      <w:r>
        <w:rPr>
          <w:rFonts w:hint="eastAsia" w:ascii="宋体" w:hAnsi="宋体"/>
          <w:color w:val="000000"/>
          <w:szCs w:val="21"/>
        </w:rPr>
        <w:t>投标人全称：</w:t>
      </w:r>
      <w:r>
        <w:rPr>
          <w:rFonts w:hint="eastAsia" w:ascii="宋体" w:hAnsi="宋体"/>
          <w:color w:val="000000"/>
          <w:szCs w:val="21"/>
          <w:u w:val="single"/>
        </w:rPr>
        <w:t xml:space="preserve">                         </w:t>
      </w:r>
      <w:r>
        <w:rPr>
          <w:rFonts w:hint="eastAsia" w:ascii="宋体" w:hAnsi="宋体"/>
          <w:color w:val="000000"/>
          <w:szCs w:val="21"/>
        </w:rPr>
        <w:t xml:space="preserve">        投标人公章：</w:t>
      </w:r>
      <w:r>
        <w:rPr>
          <w:rFonts w:hint="eastAsia" w:ascii="宋体" w:hAnsi="宋体"/>
          <w:color w:val="000000"/>
          <w:szCs w:val="21"/>
          <w:u w:val="single"/>
        </w:rPr>
        <w:t xml:space="preserve">                 </w:t>
      </w:r>
    </w:p>
    <w:p w14:paraId="19A010A5">
      <w:pPr>
        <w:pStyle w:val="4"/>
        <w:rPr>
          <w:rFonts w:hint="eastAsia" w:eastAsia="宋体"/>
          <w:color w:val="000000"/>
        </w:rPr>
      </w:pPr>
      <w:r>
        <w:rPr>
          <w:rFonts w:hint="eastAsia" w:eastAsia="宋体"/>
          <w:color w:val="000000"/>
        </w:rPr>
        <w:t>5.2.3 *法人或者其他组织的营业执照等证明文件（复印件加盖公章），自然人的身份证明（复印件本人签字）</w:t>
      </w:r>
    </w:p>
    <w:p w14:paraId="0915FB65">
      <w:pPr>
        <w:rPr>
          <w:color w:val="000000"/>
        </w:rPr>
      </w:pPr>
    </w:p>
    <w:p w14:paraId="2C05D8C3">
      <w:pPr>
        <w:pStyle w:val="4"/>
        <w:rPr>
          <w:rFonts w:hint="eastAsia" w:eastAsia="宋体" w:cs="宋体"/>
          <w:color w:val="000000"/>
        </w:rPr>
      </w:pPr>
      <w:r>
        <w:rPr>
          <w:rFonts w:hint="eastAsia" w:eastAsia="宋体"/>
          <w:color w:val="000000"/>
        </w:rPr>
        <w:t xml:space="preserve">5.2.4 </w:t>
      </w:r>
      <w:r>
        <w:rPr>
          <w:rFonts w:hint="eastAsia" w:eastAsia="宋体" w:cs="宋体"/>
          <w:color w:val="000000"/>
        </w:rPr>
        <w:t>*202</w:t>
      </w:r>
      <w:r>
        <w:rPr>
          <w:rFonts w:hint="eastAsia" w:eastAsia="宋体" w:cs="宋体"/>
          <w:color w:val="000000"/>
          <w:lang w:val="en-US" w:eastAsia="zh-CN"/>
        </w:rPr>
        <w:t>4</w:t>
      </w:r>
      <w:r>
        <w:rPr>
          <w:rFonts w:hint="eastAsia" w:eastAsia="宋体" w:cs="宋体"/>
          <w:color w:val="000000"/>
        </w:rPr>
        <w:t>年度经会计师事务所审计的财务审计报告、资产负债表及损益表/利润表（复印件加盖公章，若无202</w:t>
      </w:r>
      <w:r>
        <w:rPr>
          <w:rFonts w:hint="eastAsia" w:eastAsia="宋体" w:cs="宋体"/>
          <w:color w:val="000000"/>
          <w:lang w:val="en-US" w:eastAsia="zh-CN"/>
        </w:rPr>
        <w:t>4</w:t>
      </w:r>
      <w:r>
        <w:rPr>
          <w:rFonts w:hint="eastAsia" w:eastAsia="宋体" w:cs="宋体"/>
          <w:color w:val="000000"/>
        </w:rPr>
        <w:t>年度经会计师事务所审计的财务审计报告，请提供202</w:t>
      </w:r>
      <w:r>
        <w:rPr>
          <w:rFonts w:hint="eastAsia" w:eastAsia="宋体" w:cs="宋体"/>
          <w:color w:val="000000"/>
          <w:lang w:val="en-US" w:eastAsia="zh-CN"/>
        </w:rPr>
        <w:t>3</w:t>
      </w:r>
      <w:r>
        <w:rPr>
          <w:rFonts w:hint="eastAsia" w:eastAsia="宋体" w:cs="宋体"/>
          <w:color w:val="000000"/>
        </w:rPr>
        <w:t>年度经会计师事务所审计的财务审计报告）</w:t>
      </w:r>
    </w:p>
    <w:p w14:paraId="69238C35">
      <w:pPr>
        <w:spacing w:line="360" w:lineRule="auto"/>
        <w:rPr>
          <w:rFonts w:hint="eastAsia" w:ascii="宋体" w:hAnsi="宋体" w:cs="宋体"/>
          <w:color w:val="000000"/>
        </w:rPr>
      </w:pPr>
    </w:p>
    <w:p w14:paraId="0ABF5CD7">
      <w:pPr>
        <w:pStyle w:val="4"/>
        <w:rPr>
          <w:rFonts w:hint="eastAsia" w:eastAsia="宋体" w:cs="宋体"/>
          <w:color w:val="000000"/>
        </w:rPr>
      </w:pPr>
      <w:r>
        <w:rPr>
          <w:rFonts w:hint="eastAsia" w:eastAsia="宋体"/>
          <w:color w:val="000000"/>
        </w:rPr>
        <w:t xml:space="preserve">5.2.5 </w:t>
      </w:r>
      <w:r>
        <w:rPr>
          <w:rFonts w:hint="eastAsia" w:eastAsia="宋体" w:cs="宋体"/>
          <w:color w:val="000000"/>
        </w:rPr>
        <w:t>*最近一年任意三个月依法缴纳各种税收和社会保障资金的相关证明材料（复印件加盖公章）</w:t>
      </w:r>
    </w:p>
    <w:p w14:paraId="2724BE56">
      <w:pPr>
        <w:spacing w:line="360" w:lineRule="auto"/>
        <w:rPr>
          <w:rFonts w:hint="eastAsia" w:ascii="宋体" w:hAnsi="宋体" w:cs="宋体"/>
          <w:color w:val="000000"/>
        </w:rPr>
      </w:pPr>
    </w:p>
    <w:p w14:paraId="77C46BB3">
      <w:pPr>
        <w:spacing w:line="360" w:lineRule="auto"/>
        <w:rPr>
          <w:rFonts w:hint="eastAsia" w:ascii="宋体" w:hAnsi="宋体" w:cs="宋体"/>
          <w:color w:val="000000"/>
        </w:rPr>
      </w:pPr>
    </w:p>
    <w:p w14:paraId="576F8D5A">
      <w:pPr>
        <w:spacing w:line="360" w:lineRule="auto"/>
        <w:rPr>
          <w:rFonts w:hint="eastAsia" w:ascii="宋体" w:hAnsi="宋体" w:cs="宋体"/>
          <w:color w:val="000000"/>
        </w:rPr>
      </w:pPr>
    </w:p>
    <w:p w14:paraId="1154BD4D">
      <w:pPr>
        <w:spacing w:line="360" w:lineRule="auto"/>
        <w:rPr>
          <w:rFonts w:hint="eastAsia" w:ascii="宋体" w:hAnsi="宋体" w:cs="宋体"/>
          <w:color w:val="000000"/>
        </w:rPr>
      </w:pPr>
    </w:p>
    <w:p w14:paraId="7E50DBCE">
      <w:pPr>
        <w:pStyle w:val="4"/>
        <w:rPr>
          <w:rFonts w:hint="eastAsia" w:eastAsia="宋体"/>
          <w:color w:val="000000"/>
        </w:rPr>
      </w:pPr>
      <w:r>
        <w:rPr>
          <w:rFonts w:hint="eastAsia" w:eastAsia="宋体"/>
          <w:color w:val="000000"/>
        </w:rPr>
        <w:t>5.2.6 *具备履行合同所必需的设备和专业技术能力的证明材料（合同关键页的复印件，至少包含合同首页、体现合同内容和就餐人数的关键页（合同中不能提供就餐人数的也可提供用户的证明材料）、签订日期页、签字盖章页，加盖公章）</w:t>
      </w:r>
    </w:p>
    <w:p w14:paraId="07B38E27">
      <w:pPr>
        <w:spacing w:line="360" w:lineRule="auto"/>
        <w:ind w:firstLine="424" w:firstLineChars="202"/>
        <w:rPr>
          <w:rFonts w:hint="eastAsia" w:ascii="宋体" w:hAnsi="宋体" w:cs="宋体"/>
          <w:color w:val="000000"/>
          <w:szCs w:val="21"/>
        </w:rPr>
      </w:pPr>
      <w:r>
        <w:rPr>
          <w:rFonts w:hint="eastAsia" w:ascii="宋体" w:hAnsi="宋体" w:cs="宋体"/>
          <w:color w:val="000000"/>
          <w:szCs w:val="21"/>
        </w:rPr>
        <w:t>投标人具有近三年（202</w:t>
      </w:r>
      <w:r>
        <w:rPr>
          <w:rFonts w:hint="eastAsia" w:ascii="宋体" w:hAnsi="宋体" w:cs="宋体"/>
          <w:color w:val="000000"/>
          <w:szCs w:val="21"/>
          <w:lang w:val="en-US" w:eastAsia="zh-CN"/>
        </w:rPr>
        <w:t>2</w:t>
      </w:r>
      <w:r>
        <w:rPr>
          <w:rFonts w:hint="eastAsia" w:ascii="宋体" w:hAnsi="宋体" w:cs="宋体"/>
          <w:color w:val="000000"/>
          <w:szCs w:val="21"/>
        </w:rPr>
        <w:t>年1月1日起，以合同签订时间为准）就餐人数满足</w:t>
      </w:r>
      <w:r>
        <w:rPr>
          <w:rFonts w:hint="eastAsia" w:ascii="宋体" w:hAnsi="宋体" w:cs="宋体"/>
          <w:color w:val="000000"/>
          <w:szCs w:val="21"/>
          <w:lang w:val="en-US" w:eastAsia="zh-CN"/>
        </w:rPr>
        <w:t>8</w:t>
      </w:r>
      <w:r>
        <w:rPr>
          <w:rFonts w:hint="eastAsia" w:ascii="宋体" w:hAnsi="宋体" w:cs="宋体"/>
          <w:color w:val="000000"/>
          <w:szCs w:val="21"/>
        </w:rPr>
        <w:t>00人（含）以上的项目经验</w:t>
      </w:r>
    </w:p>
    <w:p w14:paraId="2B0B2114">
      <w:pPr>
        <w:pStyle w:val="4"/>
        <w:shd w:val="clear" w:color="auto" w:fill="FFFFFF"/>
        <w:rPr>
          <w:rFonts w:hint="eastAsia" w:eastAsia="宋体"/>
          <w:color w:val="000000"/>
        </w:rPr>
      </w:pPr>
      <w:r>
        <w:rPr>
          <w:rFonts w:hint="eastAsia" w:eastAsia="宋体"/>
          <w:color w:val="000000"/>
        </w:rPr>
        <w:t>5.2.7 *投标人开户银行出具的银行资信证明原件或复印件</w:t>
      </w:r>
    </w:p>
    <w:p w14:paraId="1B00952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1.投标文件正本中应为银行在开标日前三个月内开具的资信证明原件或复印件，资信证明至少应满足以下要求：</w:t>
      </w:r>
    </w:p>
    <w:p w14:paraId="1CE11C2E">
      <w:pPr>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（1）投标人基本账户开户行或其上级银行提供；</w:t>
      </w:r>
    </w:p>
    <w:p w14:paraId="5AC6F000">
      <w:pPr>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（2）证明投标人资信状况良好，往来账款正常，无透支行为；</w:t>
      </w:r>
    </w:p>
    <w:p w14:paraId="2AD2CF0B">
      <w:pPr>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（3）具有资信证明开出行有效公章。</w:t>
      </w:r>
    </w:p>
    <w:p w14:paraId="17DFD23F">
      <w:pPr>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2.提供基本账户证明材料。</w:t>
      </w:r>
    </w:p>
    <w:p w14:paraId="3FF2F542">
      <w:pPr>
        <w:pStyle w:val="4"/>
        <w:rPr>
          <w:rFonts w:hint="eastAsia" w:eastAsia="宋体"/>
          <w:color w:val="000000"/>
        </w:rPr>
      </w:pPr>
      <w:r>
        <w:rPr>
          <w:rFonts w:hint="eastAsia" w:eastAsia="宋体"/>
          <w:color w:val="000000"/>
        </w:rPr>
        <w:t>5.2.8 *商务条款逐项应答表（以包为单位分别填写）</w:t>
      </w:r>
    </w:p>
    <w:p w14:paraId="6A8DB145">
      <w:pPr>
        <w:spacing w:line="360" w:lineRule="auto"/>
        <w:rPr>
          <w:rFonts w:hint="eastAsia" w:ascii="宋体" w:hAnsi="宋体"/>
          <w:color w:val="000000"/>
          <w:szCs w:val="21"/>
        </w:rPr>
      </w:pPr>
      <w:r>
        <w:rPr>
          <w:rFonts w:hint="eastAsia" w:ascii="宋体" w:hAnsi="宋体"/>
          <w:color w:val="000000"/>
          <w:szCs w:val="21"/>
        </w:rPr>
        <w:t xml:space="preserve">    如投标人提交的商务文件与招标文件的要求存在偏离，需逐项填写商务文件偏离表，否则认为投标人完全接受招标文件的要求。如完全接受招标文件的要求，则应填写“全部无偏离”。</w:t>
      </w:r>
    </w:p>
    <w:p w14:paraId="53DBABA3">
      <w:pPr>
        <w:spacing w:line="360" w:lineRule="auto"/>
        <w:rPr>
          <w:rFonts w:hint="eastAsia" w:ascii="宋体" w:hAnsi="宋体"/>
          <w:color w:val="000000"/>
          <w:szCs w:val="21"/>
        </w:rPr>
      </w:pPr>
      <w:r>
        <w:rPr>
          <w:rFonts w:hint="eastAsia" w:ascii="宋体" w:hAnsi="宋体"/>
          <w:color w:val="000000"/>
          <w:szCs w:val="21"/>
        </w:rPr>
        <w:t xml:space="preserve">    项目名称：</w:t>
      </w:r>
      <w:r>
        <w:rPr>
          <w:rFonts w:hint="eastAsia" w:ascii="宋体" w:hAnsi="宋体"/>
          <w:color w:val="000000"/>
          <w:szCs w:val="21"/>
          <w:u w:val="single"/>
        </w:rPr>
        <w:t xml:space="preserve">                                   </w:t>
      </w:r>
    </w:p>
    <w:p w14:paraId="07C9FC68">
      <w:pPr>
        <w:spacing w:line="360" w:lineRule="auto"/>
        <w:rPr>
          <w:rFonts w:hint="eastAsia" w:ascii="宋体" w:hAnsi="宋体"/>
          <w:color w:val="000000"/>
          <w:szCs w:val="21"/>
        </w:rPr>
      </w:pPr>
      <w:r>
        <w:rPr>
          <w:rFonts w:hint="eastAsia" w:ascii="宋体" w:hAnsi="宋体"/>
          <w:color w:val="000000"/>
          <w:szCs w:val="21"/>
        </w:rPr>
        <w:t xml:space="preserve">    项目编号：</w:t>
      </w:r>
      <w:r>
        <w:rPr>
          <w:rFonts w:hint="eastAsia" w:ascii="宋体" w:hAnsi="宋体"/>
          <w:color w:val="000000"/>
          <w:szCs w:val="21"/>
          <w:u w:val="single"/>
        </w:rPr>
        <w:t xml:space="preserve">                                   </w:t>
      </w:r>
    </w:p>
    <w:p w14:paraId="42DBDFAE">
      <w:pPr>
        <w:spacing w:line="360" w:lineRule="auto"/>
        <w:rPr>
          <w:rFonts w:hint="eastAsia" w:ascii="宋体" w:hAnsi="宋体"/>
          <w:color w:val="000000"/>
          <w:szCs w:val="21"/>
        </w:rPr>
      </w:pPr>
      <w:r>
        <w:rPr>
          <w:rFonts w:hint="eastAsia" w:ascii="宋体" w:hAnsi="宋体"/>
          <w:color w:val="000000"/>
          <w:szCs w:val="21"/>
        </w:rPr>
        <w:t xml:space="preserve">    投标人名称：</w:t>
      </w:r>
      <w:r>
        <w:rPr>
          <w:rFonts w:hint="eastAsia" w:ascii="宋体" w:hAnsi="宋体"/>
          <w:color w:val="000000"/>
          <w:szCs w:val="21"/>
          <w:u w:val="single"/>
        </w:rPr>
        <w:t xml:space="preserve">                                 </w:t>
      </w:r>
    </w:p>
    <w:p w14:paraId="017E9702">
      <w:pPr>
        <w:spacing w:line="360" w:lineRule="auto"/>
        <w:rPr>
          <w:rFonts w:hint="eastAsia" w:ascii="宋体" w:hAnsi="宋体"/>
          <w:color w:val="000000"/>
          <w:szCs w:val="21"/>
        </w:rPr>
      </w:pP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155"/>
        <w:gridCol w:w="1762"/>
        <w:gridCol w:w="2202"/>
        <w:gridCol w:w="1419"/>
        <w:gridCol w:w="1421"/>
      </w:tblGrid>
      <w:tr w14:paraId="5285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tcBorders>
              <w:top w:val="single" w:color="auto" w:sz="4" w:space="0"/>
              <w:left w:val="single" w:color="auto" w:sz="4" w:space="0"/>
              <w:bottom w:val="single" w:color="auto" w:sz="4" w:space="0"/>
              <w:right w:val="single" w:color="auto" w:sz="4" w:space="0"/>
            </w:tcBorders>
            <w:shd w:val="clear" w:color="auto" w:fill="C0C0C0"/>
            <w:vAlign w:val="center"/>
          </w:tcPr>
          <w:p w14:paraId="5DB5F8EC">
            <w:pPr>
              <w:spacing w:line="360" w:lineRule="auto"/>
              <w:rPr>
                <w:rFonts w:hint="eastAsia" w:ascii="宋体" w:hAnsi="宋体"/>
                <w:color w:val="000000"/>
                <w:szCs w:val="21"/>
              </w:rPr>
            </w:pPr>
            <w:r>
              <w:rPr>
                <w:rFonts w:hint="eastAsia" w:ascii="宋体" w:hAnsi="宋体"/>
                <w:color w:val="000000"/>
                <w:szCs w:val="21"/>
              </w:rPr>
              <w:t>序号</w:t>
            </w:r>
          </w:p>
        </w:tc>
        <w:tc>
          <w:tcPr>
            <w:tcW w:w="678" w:type="pct"/>
            <w:tcBorders>
              <w:top w:val="single" w:color="auto" w:sz="4" w:space="0"/>
              <w:left w:val="single" w:color="auto" w:sz="4" w:space="0"/>
              <w:bottom w:val="single" w:color="auto" w:sz="4" w:space="0"/>
              <w:right w:val="single" w:color="auto" w:sz="4" w:space="0"/>
            </w:tcBorders>
            <w:shd w:val="clear" w:color="auto" w:fill="C0C0C0"/>
            <w:vAlign w:val="center"/>
          </w:tcPr>
          <w:p w14:paraId="501357AD">
            <w:pPr>
              <w:spacing w:line="360" w:lineRule="auto"/>
              <w:jc w:val="center"/>
              <w:rPr>
                <w:rFonts w:hint="eastAsia" w:ascii="宋体" w:hAnsi="宋体"/>
                <w:color w:val="000000"/>
                <w:szCs w:val="21"/>
              </w:rPr>
            </w:pPr>
            <w:r>
              <w:rPr>
                <w:rFonts w:hint="eastAsia" w:ascii="宋体" w:hAnsi="宋体"/>
                <w:color w:val="000000"/>
                <w:szCs w:val="21"/>
              </w:rPr>
              <w:t>招标文件条目号</w:t>
            </w:r>
          </w:p>
        </w:tc>
        <w:tc>
          <w:tcPr>
            <w:tcW w:w="1034" w:type="pct"/>
            <w:tcBorders>
              <w:top w:val="single" w:color="auto" w:sz="4" w:space="0"/>
              <w:left w:val="single" w:color="auto" w:sz="4" w:space="0"/>
              <w:bottom w:val="single" w:color="auto" w:sz="4" w:space="0"/>
              <w:right w:val="single" w:color="auto" w:sz="4" w:space="0"/>
            </w:tcBorders>
            <w:shd w:val="clear" w:color="auto" w:fill="C0C0C0"/>
            <w:vAlign w:val="center"/>
          </w:tcPr>
          <w:p w14:paraId="132E9BFF">
            <w:pPr>
              <w:spacing w:line="360" w:lineRule="auto"/>
              <w:jc w:val="center"/>
              <w:rPr>
                <w:rFonts w:hint="eastAsia" w:ascii="宋体" w:hAnsi="宋体"/>
                <w:color w:val="000000"/>
                <w:szCs w:val="21"/>
              </w:rPr>
            </w:pPr>
            <w:r>
              <w:rPr>
                <w:rFonts w:hint="eastAsia" w:ascii="宋体" w:hAnsi="宋体"/>
                <w:color w:val="000000"/>
                <w:szCs w:val="21"/>
              </w:rPr>
              <w:t>招标文件商务文件要求</w:t>
            </w:r>
          </w:p>
        </w:tc>
        <w:tc>
          <w:tcPr>
            <w:tcW w:w="1292" w:type="pct"/>
            <w:tcBorders>
              <w:top w:val="single" w:color="auto" w:sz="4" w:space="0"/>
              <w:left w:val="single" w:color="auto" w:sz="4" w:space="0"/>
              <w:bottom w:val="single" w:color="auto" w:sz="4" w:space="0"/>
              <w:right w:val="single" w:color="auto" w:sz="4" w:space="0"/>
            </w:tcBorders>
            <w:shd w:val="clear" w:color="auto" w:fill="C0C0C0"/>
            <w:vAlign w:val="center"/>
          </w:tcPr>
          <w:p w14:paraId="428CC2CC">
            <w:pPr>
              <w:spacing w:line="360" w:lineRule="auto"/>
              <w:jc w:val="center"/>
              <w:rPr>
                <w:rFonts w:hint="eastAsia" w:ascii="宋体" w:hAnsi="宋体"/>
                <w:color w:val="000000"/>
                <w:szCs w:val="21"/>
              </w:rPr>
            </w:pPr>
            <w:r>
              <w:rPr>
                <w:rFonts w:hint="eastAsia" w:ascii="宋体" w:hAnsi="宋体"/>
                <w:color w:val="000000"/>
                <w:szCs w:val="21"/>
              </w:rPr>
              <w:t>投标文件的应答</w:t>
            </w:r>
          </w:p>
        </w:tc>
        <w:tc>
          <w:tcPr>
            <w:tcW w:w="833" w:type="pct"/>
            <w:tcBorders>
              <w:top w:val="single" w:color="auto" w:sz="4" w:space="0"/>
              <w:left w:val="single" w:color="auto" w:sz="4" w:space="0"/>
              <w:bottom w:val="single" w:color="auto" w:sz="4" w:space="0"/>
              <w:right w:val="single" w:color="auto" w:sz="4" w:space="0"/>
            </w:tcBorders>
            <w:shd w:val="clear" w:color="auto" w:fill="C0C0C0"/>
            <w:vAlign w:val="center"/>
          </w:tcPr>
          <w:p w14:paraId="149EC6D5">
            <w:pPr>
              <w:spacing w:line="360" w:lineRule="auto"/>
              <w:jc w:val="center"/>
              <w:rPr>
                <w:rFonts w:hint="eastAsia" w:ascii="宋体" w:hAnsi="宋体"/>
                <w:color w:val="000000"/>
                <w:szCs w:val="21"/>
              </w:rPr>
            </w:pPr>
            <w:r>
              <w:rPr>
                <w:rFonts w:hint="eastAsia" w:ascii="宋体" w:hAnsi="宋体"/>
                <w:color w:val="000000"/>
                <w:szCs w:val="21"/>
              </w:rPr>
              <w:t>偏  差</w:t>
            </w:r>
          </w:p>
        </w:tc>
        <w:tc>
          <w:tcPr>
            <w:tcW w:w="834" w:type="pct"/>
            <w:tcBorders>
              <w:top w:val="single" w:color="auto" w:sz="4" w:space="0"/>
              <w:left w:val="single" w:color="auto" w:sz="4" w:space="0"/>
              <w:bottom w:val="single" w:color="auto" w:sz="4" w:space="0"/>
              <w:right w:val="single" w:color="auto" w:sz="4" w:space="0"/>
            </w:tcBorders>
            <w:shd w:val="clear" w:color="auto" w:fill="C0C0C0"/>
            <w:vAlign w:val="center"/>
          </w:tcPr>
          <w:p w14:paraId="05B02CCF">
            <w:pPr>
              <w:spacing w:line="360" w:lineRule="auto"/>
              <w:jc w:val="center"/>
              <w:rPr>
                <w:rFonts w:hint="eastAsia" w:ascii="宋体" w:hAnsi="宋体"/>
                <w:color w:val="000000"/>
                <w:szCs w:val="21"/>
              </w:rPr>
            </w:pPr>
            <w:r>
              <w:rPr>
                <w:rFonts w:hint="eastAsia" w:ascii="宋体" w:hAnsi="宋体"/>
                <w:color w:val="000000"/>
                <w:szCs w:val="21"/>
              </w:rPr>
              <w:t>说  明</w:t>
            </w:r>
          </w:p>
        </w:tc>
      </w:tr>
      <w:tr w14:paraId="681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tcBorders>
              <w:top w:val="single" w:color="auto" w:sz="4" w:space="0"/>
              <w:left w:val="single" w:color="auto" w:sz="4" w:space="0"/>
              <w:bottom w:val="single" w:color="auto" w:sz="4" w:space="0"/>
              <w:right w:val="single" w:color="auto" w:sz="4" w:space="0"/>
            </w:tcBorders>
            <w:vAlign w:val="center"/>
          </w:tcPr>
          <w:p w14:paraId="515D48A8">
            <w:pPr>
              <w:spacing w:line="360" w:lineRule="auto"/>
              <w:rPr>
                <w:rFonts w:hint="eastAsia" w:ascii="宋体" w:hAnsi="宋体"/>
                <w:color w:val="000000"/>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426503B2">
            <w:pPr>
              <w:spacing w:line="360" w:lineRule="auto"/>
              <w:rPr>
                <w:rFonts w:hint="eastAsia" w:ascii="宋体" w:hAnsi="宋体"/>
                <w:color w:val="00000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A233A89">
            <w:pPr>
              <w:spacing w:line="360" w:lineRule="auto"/>
              <w:rPr>
                <w:rFonts w:hint="eastAsia" w:ascii="宋体" w:hAnsi="宋体"/>
                <w:color w:val="000000"/>
                <w:szCs w:val="21"/>
              </w:rPr>
            </w:pPr>
          </w:p>
        </w:tc>
        <w:tc>
          <w:tcPr>
            <w:tcW w:w="1292" w:type="pct"/>
            <w:tcBorders>
              <w:top w:val="single" w:color="auto" w:sz="4" w:space="0"/>
              <w:left w:val="single" w:color="auto" w:sz="4" w:space="0"/>
              <w:bottom w:val="single" w:color="auto" w:sz="4" w:space="0"/>
              <w:right w:val="single" w:color="auto" w:sz="4" w:space="0"/>
            </w:tcBorders>
            <w:vAlign w:val="center"/>
          </w:tcPr>
          <w:p w14:paraId="3AE68BAF">
            <w:pPr>
              <w:spacing w:line="360" w:lineRule="auto"/>
              <w:rPr>
                <w:rFonts w:hint="eastAsia" w:ascii="宋体" w:hAnsi="宋体"/>
                <w:color w:val="000000"/>
                <w:szCs w:val="21"/>
              </w:rPr>
            </w:pPr>
          </w:p>
        </w:tc>
        <w:tc>
          <w:tcPr>
            <w:tcW w:w="833" w:type="pct"/>
            <w:tcBorders>
              <w:top w:val="single" w:color="auto" w:sz="4" w:space="0"/>
              <w:left w:val="single" w:color="auto" w:sz="4" w:space="0"/>
              <w:bottom w:val="single" w:color="auto" w:sz="4" w:space="0"/>
              <w:right w:val="single" w:color="auto" w:sz="4" w:space="0"/>
            </w:tcBorders>
            <w:vAlign w:val="center"/>
          </w:tcPr>
          <w:p w14:paraId="0D8946DF">
            <w:pPr>
              <w:spacing w:line="360" w:lineRule="auto"/>
              <w:rPr>
                <w:rFonts w:hint="eastAsia" w:ascii="宋体" w:hAnsi="宋体"/>
                <w:color w:val="000000"/>
                <w:szCs w:val="21"/>
              </w:rPr>
            </w:pPr>
          </w:p>
        </w:tc>
        <w:tc>
          <w:tcPr>
            <w:tcW w:w="834" w:type="pct"/>
            <w:tcBorders>
              <w:top w:val="single" w:color="auto" w:sz="4" w:space="0"/>
              <w:left w:val="single" w:color="auto" w:sz="4" w:space="0"/>
              <w:bottom w:val="single" w:color="auto" w:sz="4" w:space="0"/>
              <w:right w:val="single" w:color="auto" w:sz="4" w:space="0"/>
            </w:tcBorders>
            <w:vAlign w:val="center"/>
          </w:tcPr>
          <w:p w14:paraId="7DF0F74F">
            <w:pPr>
              <w:spacing w:line="360" w:lineRule="auto"/>
              <w:rPr>
                <w:rFonts w:hint="eastAsia" w:ascii="宋体" w:hAnsi="宋体"/>
                <w:color w:val="000000"/>
                <w:szCs w:val="21"/>
              </w:rPr>
            </w:pPr>
          </w:p>
        </w:tc>
      </w:tr>
      <w:tr w14:paraId="34E8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tcBorders>
              <w:top w:val="single" w:color="auto" w:sz="4" w:space="0"/>
              <w:left w:val="single" w:color="auto" w:sz="4" w:space="0"/>
              <w:bottom w:val="single" w:color="auto" w:sz="4" w:space="0"/>
              <w:right w:val="single" w:color="auto" w:sz="4" w:space="0"/>
            </w:tcBorders>
            <w:vAlign w:val="center"/>
          </w:tcPr>
          <w:p w14:paraId="586D35D1">
            <w:pPr>
              <w:spacing w:line="360" w:lineRule="auto"/>
              <w:rPr>
                <w:rFonts w:hint="eastAsia" w:ascii="宋体" w:hAnsi="宋体"/>
                <w:color w:val="000000"/>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0F7A409B">
            <w:pPr>
              <w:spacing w:line="360" w:lineRule="auto"/>
              <w:rPr>
                <w:rFonts w:hint="eastAsia" w:ascii="宋体" w:hAnsi="宋体"/>
                <w:color w:val="00000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6EDACE85">
            <w:pPr>
              <w:spacing w:line="360" w:lineRule="auto"/>
              <w:rPr>
                <w:rFonts w:hint="eastAsia" w:ascii="宋体" w:hAnsi="宋体"/>
                <w:color w:val="000000"/>
                <w:szCs w:val="21"/>
              </w:rPr>
            </w:pPr>
          </w:p>
        </w:tc>
        <w:tc>
          <w:tcPr>
            <w:tcW w:w="1292" w:type="pct"/>
            <w:tcBorders>
              <w:top w:val="single" w:color="auto" w:sz="4" w:space="0"/>
              <w:left w:val="single" w:color="auto" w:sz="4" w:space="0"/>
              <w:bottom w:val="single" w:color="auto" w:sz="4" w:space="0"/>
              <w:right w:val="single" w:color="auto" w:sz="4" w:space="0"/>
            </w:tcBorders>
            <w:vAlign w:val="center"/>
          </w:tcPr>
          <w:p w14:paraId="70979484">
            <w:pPr>
              <w:spacing w:line="360" w:lineRule="auto"/>
              <w:rPr>
                <w:rFonts w:hint="eastAsia" w:ascii="宋体" w:hAnsi="宋体"/>
                <w:color w:val="000000"/>
                <w:szCs w:val="21"/>
              </w:rPr>
            </w:pPr>
          </w:p>
        </w:tc>
        <w:tc>
          <w:tcPr>
            <w:tcW w:w="833" w:type="pct"/>
            <w:tcBorders>
              <w:top w:val="single" w:color="auto" w:sz="4" w:space="0"/>
              <w:left w:val="single" w:color="auto" w:sz="4" w:space="0"/>
              <w:bottom w:val="single" w:color="auto" w:sz="4" w:space="0"/>
              <w:right w:val="single" w:color="auto" w:sz="4" w:space="0"/>
            </w:tcBorders>
            <w:vAlign w:val="center"/>
          </w:tcPr>
          <w:p w14:paraId="5DA140B4">
            <w:pPr>
              <w:spacing w:line="360" w:lineRule="auto"/>
              <w:rPr>
                <w:rFonts w:hint="eastAsia" w:ascii="宋体" w:hAnsi="宋体"/>
                <w:color w:val="000000"/>
                <w:szCs w:val="21"/>
              </w:rPr>
            </w:pPr>
          </w:p>
        </w:tc>
        <w:tc>
          <w:tcPr>
            <w:tcW w:w="834" w:type="pct"/>
            <w:tcBorders>
              <w:top w:val="single" w:color="auto" w:sz="4" w:space="0"/>
              <w:left w:val="single" w:color="auto" w:sz="4" w:space="0"/>
              <w:bottom w:val="single" w:color="auto" w:sz="4" w:space="0"/>
              <w:right w:val="single" w:color="auto" w:sz="4" w:space="0"/>
            </w:tcBorders>
            <w:vAlign w:val="center"/>
          </w:tcPr>
          <w:p w14:paraId="16F73D1A">
            <w:pPr>
              <w:spacing w:line="360" w:lineRule="auto"/>
              <w:rPr>
                <w:rFonts w:hint="eastAsia" w:ascii="宋体" w:hAnsi="宋体"/>
                <w:color w:val="000000"/>
                <w:szCs w:val="21"/>
              </w:rPr>
            </w:pPr>
          </w:p>
        </w:tc>
      </w:tr>
    </w:tbl>
    <w:p w14:paraId="72664C6D">
      <w:pPr>
        <w:spacing w:line="360" w:lineRule="auto"/>
        <w:rPr>
          <w:rFonts w:hint="eastAsia" w:ascii="宋体" w:hAnsi="宋体"/>
          <w:color w:val="000000"/>
          <w:szCs w:val="21"/>
        </w:rPr>
      </w:pPr>
    </w:p>
    <w:p w14:paraId="20762E49">
      <w:pPr>
        <w:spacing w:line="360" w:lineRule="auto"/>
        <w:rPr>
          <w:rFonts w:hint="eastAsia" w:ascii="宋体" w:hAnsi="宋体"/>
          <w:color w:val="000000"/>
          <w:szCs w:val="21"/>
        </w:rPr>
      </w:pPr>
      <w:r>
        <w:rPr>
          <w:rFonts w:hint="eastAsia" w:ascii="宋体" w:hAnsi="宋体"/>
          <w:color w:val="000000"/>
          <w:szCs w:val="21"/>
        </w:rPr>
        <w:t>投标人公章：</w:t>
      </w:r>
    </w:p>
    <w:p w14:paraId="7D74B832">
      <w:pPr>
        <w:spacing w:line="360" w:lineRule="auto"/>
        <w:rPr>
          <w:rFonts w:hint="eastAsia" w:ascii="宋体" w:hAnsi="宋体"/>
          <w:color w:val="000000"/>
          <w:szCs w:val="21"/>
        </w:rPr>
      </w:pPr>
      <w:r>
        <w:rPr>
          <w:rFonts w:hint="eastAsia" w:ascii="宋体" w:hAnsi="宋体"/>
          <w:color w:val="000000"/>
          <w:szCs w:val="21"/>
        </w:rPr>
        <w:t>投标人代表签字或人名章：</w:t>
      </w:r>
      <w:r>
        <w:rPr>
          <w:rFonts w:hint="eastAsia" w:ascii="宋体" w:hAnsi="宋体"/>
          <w:color w:val="000000"/>
          <w:szCs w:val="21"/>
          <w:u w:val="single"/>
        </w:rPr>
        <w:t xml:space="preserve">                      </w:t>
      </w:r>
    </w:p>
    <w:p w14:paraId="1E18235C">
      <w:pPr>
        <w:spacing w:line="360" w:lineRule="auto"/>
        <w:rPr>
          <w:rFonts w:hint="eastAsia" w:ascii="宋体" w:hAnsi="宋体"/>
          <w:color w:val="000000"/>
          <w:szCs w:val="21"/>
          <w:u w:val="single"/>
        </w:rPr>
      </w:pPr>
      <w:r>
        <w:rPr>
          <w:rFonts w:hint="eastAsia" w:ascii="宋体" w:hAnsi="宋体"/>
          <w:color w:val="000000"/>
          <w:szCs w:val="21"/>
        </w:rPr>
        <w:t>日      期：</w:t>
      </w:r>
      <w:r>
        <w:rPr>
          <w:rFonts w:hint="eastAsia" w:ascii="宋体" w:hAnsi="宋体"/>
          <w:color w:val="000000"/>
          <w:szCs w:val="21"/>
          <w:u w:val="single"/>
        </w:rPr>
        <w:t xml:space="preserve">                      </w:t>
      </w:r>
    </w:p>
    <w:p w14:paraId="2D81B45C">
      <w:pPr>
        <w:spacing w:line="360" w:lineRule="auto"/>
        <w:rPr>
          <w:rFonts w:hint="eastAsia" w:ascii="宋体" w:hAnsi="宋体"/>
          <w:color w:val="000000"/>
          <w:szCs w:val="21"/>
          <w:u w:val="single"/>
        </w:rPr>
      </w:pPr>
    </w:p>
    <w:p w14:paraId="38465789">
      <w:pPr>
        <w:pStyle w:val="4"/>
        <w:rPr>
          <w:rFonts w:hint="eastAsia" w:eastAsia="宋体"/>
          <w:color w:val="000000"/>
        </w:rPr>
      </w:pPr>
      <w:r>
        <w:rPr>
          <w:rFonts w:hint="eastAsia" w:eastAsia="宋体"/>
          <w:color w:val="000000"/>
        </w:rPr>
        <w:t>5.2.9 *投标保证金</w:t>
      </w:r>
    </w:p>
    <w:p w14:paraId="11256CFE">
      <w:pPr>
        <w:rPr>
          <w:color w:val="000000"/>
        </w:rPr>
      </w:pPr>
    </w:p>
    <w:p w14:paraId="44B444A8">
      <w:pPr>
        <w:adjustRightInd w:val="0"/>
        <w:spacing w:line="360" w:lineRule="auto"/>
        <w:ind w:firstLine="422" w:firstLineChars="200"/>
        <w:rPr>
          <w:rFonts w:hint="eastAsia" w:ascii="宋体" w:hAnsi="宋体"/>
          <w:b/>
          <w:color w:val="000000"/>
          <w:kern w:val="0"/>
          <w:szCs w:val="21"/>
        </w:rPr>
      </w:pPr>
      <w:r>
        <w:rPr>
          <w:rFonts w:hint="eastAsia" w:ascii="宋体" w:hAnsi="宋体"/>
          <w:b/>
          <w:color w:val="000000"/>
          <w:kern w:val="0"/>
          <w:szCs w:val="21"/>
        </w:rPr>
        <w:t>投标人应以银行转账提供投标保证金，保证金金额和收款账号如下：</w:t>
      </w:r>
    </w:p>
    <w:tbl>
      <w:tblPr>
        <w:tblStyle w:val="26"/>
        <w:tblW w:w="9071" w:type="dxa"/>
        <w:jc w:val="center"/>
        <w:tblLayout w:type="fixed"/>
        <w:tblCellMar>
          <w:top w:w="0" w:type="dxa"/>
          <w:left w:w="108" w:type="dxa"/>
          <w:bottom w:w="0" w:type="dxa"/>
          <w:right w:w="108" w:type="dxa"/>
        </w:tblCellMar>
      </w:tblPr>
      <w:tblGrid>
        <w:gridCol w:w="2835"/>
        <w:gridCol w:w="1701"/>
        <w:gridCol w:w="4535"/>
      </w:tblGrid>
      <w:tr w14:paraId="6D3EB5CE">
        <w:tblPrEx>
          <w:tblCellMar>
            <w:top w:w="0" w:type="dxa"/>
            <w:left w:w="108" w:type="dxa"/>
            <w:bottom w:w="0" w:type="dxa"/>
            <w:right w:w="108" w:type="dxa"/>
          </w:tblCellMar>
        </w:tblPrEx>
        <w:trPr>
          <w:trHeight w:val="589"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370D0FC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包名称</w:t>
            </w:r>
          </w:p>
        </w:tc>
        <w:tc>
          <w:tcPr>
            <w:tcW w:w="1701" w:type="dxa"/>
            <w:tcBorders>
              <w:top w:val="single" w:color="auto" w:sz="4" w:space="0"/>
              <w:left w:val="nil"/>
              <w:bottom w:val="single" w:color="auto" w:sz="4" w:space="0"/>
              <w:right w:val="single" w:color="auto" w:sz="4" w:space="0"/>
            </w:tcBorders>
            <w:shd w:val="clear" w:color="auto" w:fill="D9D9D9"/>
            <w:noWrap/>
            <w:vAlign w:val="center"/>
          </w:tcPr>
          <w:p w14:paraId="3D9858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保证金金额</w:t>
            </w:r>
          </w:p>
        </w:tc>
        <w:tc>
          <w:tcPr>
            <w:tcW w:w="4535" w:type="dxa"/>
            <w:tcBorders>
              <w:top w:val="single" w:color="auto" w:sz="4" w:space="0"/>
              <w:left w:val="nil"/>
              <w:bottom w:val="single" w:color="auto" w:sz="4" w:space="0"/>
              <w:right w:val="single" w:color="auto" w:sz="4" w:space="0"/>
            </w:tcBorders>
            <w:shd w:val="clear" w:color="auto" w:fill="D9D9D9"/>
            <w:vAlign w:val="center"/>
          </w:tcPr>
          <w:p w14:paraId="62BDCB0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收款账号</w:t>
            </w:r>
          </w:p>
        </w:tc>
      </w:tr>
      <w:tr w14:paraId="3B3D159F">
        <w:tblPrEx>
          <w:tblCellMar>
            <w:top w:w="0" w:type="dxa"/>
            <w:left w:w="108" w:type="dxa"/>
            <w:bottom w:w="0" w:type="dxa"/>
            <w:right w:w="108" w:type="dxa"/>
          </w:tblCellMar>
        </w:tblPrEx>
        <w:trPr>
          <w:trHeight w:val="452" w:hRule="atLeast"/>
          <w:jc w:val="center"/>
        </w:trPr>
        <w:tc>
          <w:tcPr>
            <w:tcW w:w="2835" w:type="dxa"/>
            <w:tcBorders>
              <w:top w:val="nil"/>
              <w:left w:val="single" w:color="auto" w:sz="4" w:space="0"/>
              <w:bottom w:val="single" w:color="auto" w:sz="4" w:space="0"/>
              <w:right w:val="single" w:color="auto" w:sz="4" w:space="0"/>
            </w:tcBorders>
            <w:noWrap/>
            <w:vAlign w:val="center"/>
          </w:tcPr>
          <w:p w14:paraId="7B5A484E">
            <w:pPr>
              <w:widowControl/>
              <w:jc w:val="center"/>
              <w:rPr>
                <w:rFonts w:hint="eastAsia" w:ascii="宋体" w:hAnsi="宋体" w:cs="宋体"/>
                <w:color w:val="000000"/>
                <w:kern w:val="0"/>
                <w:szCs w:val="21"/>
              </w:rPr>
            </w:pPr>
            <w:r>
              <w:rPr>
                <w:rFonts w:hint="eastAsia" w:ascii="宋体" w:hAnsi="宋体" w:cs="宋体"/>
                <w:color w:val="000000"/>
                <w:kern w:val="0"/>
                <w:szCs w:val="21"/>
              </w:rPr>
              <w:t>中国机械总院餐饮服务商公开招标项目</w:t>
            </w:r>
          </w:p>
        </w:tc>
        <w:tc>
          <w:tcPr>
            <w:tcW w:w="1701" w:type="dxa"/>
            <w:tcBorders>
              <w:top w:val="nil"/>
              <w:left w:val="nil"/>
              <w:bottom w:val="single" w:color="auto" w:sz="4" w:space="0"/>
              <w:right w:val="single" w:color="auto" w:sz="4" w:space="0"/>
            </w:tcBorders>
            <w:noWrap/>
            <w:vAlign w:val="center"/>
          </w:tcPr>
          <w:p w14:paraId="2B39B6CC">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万元</w:t>
            </w:r>
          </w:p>
        </w:tc>
        <w:tc>
          <w:tcPr>
            <w:tcW w:w="4535" w:type="dxa"/>
            <w:tcBorders>
              <w:top w:val="nil"/>
              <w:left w:val="nil"/>
              <w:bottom w:val="single" w:color="auto" w:sz="4" w:space="0"/>
              <w:right w:val="single" w:color="auto" w:sz="4" w:space="0"/>
            </w:tcBorders>
            <w:vAlign w:val="center"/>
          </w:tcPr>
          <w:p w14:paraId="008E3BBB">
            <w:pPr>
              <w:widowControl/>
              <w:jc w:val="center"/>
              <w:rPr>
                <w:rFonts w:hint="eastAsia" w:ascii="宋体" w:hAnsi="宋体" w:cs="宋体"/>
                <w:color w:val="000000"/>
                <w:kern w:val="0"/>
                <w:szCs w:val="21"/>
              </w:rPr>
            </w:pPr>
            <w:r>
              <w:rPr>
                <w:rFonts w:hint="eastAsia" w:ascii="宋体" w:hAnsi="宋体" w:cs="宋体"/>
                <w:color w:val="000000"/>
                <w:kern w:val="0"/>
                <w:szCs w:val="21"/>
              </w:rPr>
              <w:t>投标保证金收受人信息：中国机械科学研究总院集团有限公司</w:t>
            </w:r>
          </w:p>
          <w:p w14:paraId="57C3BFD6">
            <w:pPr>
              <w:widowControl/>
              <w:jc w:val="center"/>
              <w:rPr>
                <w:rFonts w:hint="eastAsia" w:ascii="宋体" w:hAnsi="宋体" w:cs="宋体"/>
                <w:color w:val="000000"/>
                <w:kern w:val="0"/>
                <w:szCs w:val="21"/>
              </w:rPr>
            </w:pPr>
            <w:r>
              <w:rPr>
                <w:rFonts w:hint="eastAsia" w:ascii="宋体" w:hAnsi="宋体" w:cs="宋体"/>
                <w:color w:val="000000"/>
                <w:kern w:val="0"/>
                <w:szCs w:val="21"/>
              </w:rPr>
              <w:t>账户名：</w:t>
            </w:r>
            <w:r>
              <w:rPr>
                <w:rFonts w:hint="eastAsia" w:ascii="宋体" w:hAnsi="宋体" w:cs="宋体"/>
                <w:color w:val="000000"/>
                <w:kern w:val="0"/>
                <w:szCs w:val="21"/>
                <w:lang w:val="en-US" w:eastAsia="zh-CN"/>
              </w:rPr>
              <w:t>9</w:t>
            </w:r>
            <w:r>
              <w:rPr>
                <w:rFonts w:hint="eastAsia" w:ascii="宋体" w:hAnsi="宋体" w:cs="宋体"/>
                <w:color w:val="000000"/>
                <w:kern w:val="0"/>
                <w:szCs w:val="21"/>
              </w:rPr>
              <w:t>1110000400008060U</w:t>
            </w:r>
          </w:p>
          <w:p w14:paraId="1C3F96AB">
            <w:pPr>
              <w:widowControl/>
              <w:jc w:val="center"/>
              <w:rPr>
                <w:rFonts w:hint="eastAsia" w:ascii="宋体" w:hAnsi="宋体" w:cs="宋体"/>
                <w:color w:val="000000"/>
                <w:kern w:val="0"/>
                <w:szCs w:val="21"/>
              </w:rPr>
            </w:pPr>
            <w:r>
              <w:rPr>
                <w:rFonts w:hint="eastAsia" w:ascii="宋体" w:hAnsi="宋体" w:cs="宋体"/>
                <w:color w:val="000000"/>
                <w:kern w:val="0"/>
                <w:szCs w:val="21"/>
              </w:rPr>
              <w:t>开户行：工行百万庄支行</w:t>
            </w:r>
          </w:p>
          <w:p w14:paraId="0BC98564">
            <w:pPr>
              <w:widowControl/>
              <w:jc w:val="center"/>
              <w:rPr>
                <w:rFonts w:hint="eastAsia" w:ascii="宋体" w:hAnsi="宋体" w:cs="宋体"/>
                <w:color w:val="000000"/>
                <w:kern w:val="0"/>
                <w:szCs w:val="21"/>
              </w:rPr>
            </w:pPr>
            <w:r>
              <w:rPr>
                <w:rFonts w:hint="eastAsia" w:ascii="宋体" w:hAnsi="宋体" w:cs="宋体"/>
                <w:color w:val="000000"/>
                <w:kern w:val="0"/>
                <w:szCs w:val="21"/>
              </w:rPr>
              <w:t>账号：0200001409089015618</w:t>
            </w:r>
          </w:p>
        </w:tc>
      </w:tr>
    </w:tbl>
    <w:p w14:paraId="58166560">
      <w:pPr>
        <w:adjustRightInd w:val="0"/>
        <w:spacing w:line="360" w:lineRule="auto"/>
        <w:ind w:firstLine="420" w:firstLineChars="200"/>
        <w:rPr>
          <w:color w:val="000000"/>
          <w:kern w:val="0"/>
          <w:szCs w:val="21"/>
        </w:rPr>
      </w:pPr>
      <w:r>
        <w:rPr>
          <w:color w:val="000000"/>
          <w:kern w:val="0"/>
          <w:szCs w:val="21"/>
        </w:rPr>
        <w:t>注意事项：在招投标活动结束后，投标保证金将按照投标人单位交款账户原路退还。</w:t>
      </w:r>
    </w:p>
    <w:p w14:paraId="38FAA48B">
      <w:pPr>
        <w:pStyle w:val="58"/>
        <w:spacing w:line="360" w:lineRule="auto"/>
        <w:ind w:firstLine="422" w:firstLineChars="200"/>
        <w:rPr>
          <w:rFonts w:hint="eastAsia"/>
          <w:color w:val="000000"/>
          <w:u w:val="single"/>
        </w:rPr>
      </w:pPr>
      <w:r>
        <w:rPr>
          <w:rFonts w:hint="eastAsia"/>
          <w:b/>
          <w:color w:val="000000"/>
        </w:rPr>
        <w:t>采用转账形式提交的，应在投标文件中提供汇款凭证复印件（加盖公司公章）。</w:t>
      </w:r>
    </w:p>
    <w:p w14:paraId="7056185D">
      <w:pPr>
        <w:spacing w:before="100" w:after="100" w:line="360" w:lineRule="auto"/>
        <w:jc w:val="right"/>
        <w:rPr>
          <w:rFonts w:hint="eastAsia" w:ascii="宋体" w:hAnsi="宋体"/>
          <w:color w:val="000000"/>
          <w:szCs w:val="21"/>
        </w:rPr>
      </w:pPr>
    </w:p>
    <w:p w14:paraId="51A19B01">
      <w:pPr>
        <w:pStyle w:val="4"/>
        <w:rPr>
          <w:rFonts w:hint="eastAsia" w:eastAsia="宋体"/>
          <w:color w:val="000000"/>
        </w:rPr>
      </w:pPr>
      <w:r>
        <w:rPr>
          <w:rFonts w:hint="eastAsia" w:eastAsia="宋体"/>
          <w:color w:val="000000"/>
        </w:rPr>
        <w:t>5.2.10 *供应商承诺书</w:t>
      </w:r>
    </w:p>
    <w:p w14:paraId="7F4B604F">
      <w:pPr>
        <w:spacing w:line="360" w:lineRule="auto"/>
        <w:jc w:val="center"/>
        <w:rPr>
          <w:rFonts w:hint="eastAsia" w:ascii="宋体" w:hAnsi="宋体"/>
          <w:b/>
          <w:color w:val="000000"/>
          <w:sz w:val="24"/>
          <w:szCs w:val="36"/>
        </w:rPr>
      </w:pPr>
      <w:r>
        <w:rPr>
          <w:rFonts w:hint="eastAsia" w:ascii="宋体" w:hAnsi="宋体"/>
          <w:b/>
          <w:color w:val="000000"/>
          <w:sz w:val="24"/>
          <w:szCs w:val="36"/>
        </w:rPr>
        <w:t>供应商承诺书</w:t>
      </w:r>
    </w:p>
    <w:p w14:paraId="0C8C960A">
      <w:pPr>
        <w:spacing w:line="360" w:lineRule="auto"/>
        <w:rPr>
          <w:rFonts w:hint="eastAsia" w:ascii="宋体" w:hAnsi="宋体"/>
          <w:color w:val="000000"/>
          <w:sz w:val="22"/>
          <w:szCs w:val="32"/>
        </w:rPr>
      </w:pPr>
    </w:p>
    <w:p w14:paraId="6B35B147">
      <w:pPr>
        <w:spacing w:line="360" w:lineRule="auto"/>
        <w:ind w:firstLine="420" w:firstLineChars="200"/>
        <w:rPr>
          <w:rFonts w:hint="eastAsia" w:ascii="宋体" w:hAnsi="宋体"/>
          <w:color w:val="000000"/>
          <w:szCs w:val="21"/>
        </w:rPr>
      </w:pPr>
      <w:r>
        <w:rPr>
          <w:rFonts w:hint="eastAsia" w:ascii="宋体" w:hAnsi="宋体"/>
          <w:color w:val="000000"/>
          <w:szCs w:val="21"/>
        </w:rPr>
        <w:t>我公司自愿参加</w:t>
      </w:r>
      <w:r>
        <w:rPr>
          <w:rFonts w:hint="eastAsia" w:ascii="宋体" w:hAnsi="宋体"/>
          <w:color w:val="000000"/>
          <w:szCs w:val="21"/>
          <w:lang w:val="en-US" w:eastAsia="zh-CN"/>
        </w:rPr>
        <w:t>中国机械科学研究总院集团有限公司</w:t>
      </w:r>
      <w:r>
        <w:rPr>
          <w:rFonts w:hint="eastAsia" w:ascii="宋体" w:hAnsi="宋体"/>
          <w:color w:val="000000"/>
          <w:szCs w:val="21"/>
          <w:u w:val="single"/>
        </w:rPr>
        <w:t xml:space="preserve">          </w:t>
      </w:r>
      <w:r>
        <w:rPr>
          <w:rFonts w:hint="eastAsia" w:ascii="宋体" w:hAnsi="宋体"/>
          <w:color w:val="000000"/>
          <w:szCs w:val="21"/>
        </w:rPr>
        <w:t>公开招标项目（项目编号：</w:t>
      </w:r>
      <w:r>
        <w:rPr>
          <w:rFonts w:hint="eastAsia" w:ascii="宋体" w:hAnsi="宋体"/>
          <w:color w:val="000000"/>
          <w:szCs w:val="21"/>
          <w:u w:val="single"/>
        </w:rPr>
        <w:t xml:space="preserve">             </w:t>
      </w:r>
      <w:r>
        <w:rPr>
          <w:rFonts w:hint="eastAsia" w:ascii="宋体" w:hAnsi="宋体"/>
          <w:color w:val="000000"/>
          <w:szCs w:val="21"/>
        </w:rPr>
        <w:t>），并承诺如下：</w:t>
      </w:r>
    </w:p>
    <w:p w14:paraId="0C9EE64A">
      <w:pPr>
        <w:spacing w:line="360" w:lineRule="auto"/>
        <w:ind w:firstLine="420" w:firstLineChars="200"/>
        <w:rPr>
          <w:rFonts w:hint="eastAsia" w:ascii="宋体" w:hAnsi="宋体"/>
          <w:color w:val="000000"/>
          <w:szCs w:val="21"/>
        </w:rPr>
      </w:pPr>
      <w:r>
        <w:rPr>
          <w:rFonts w:hint="eastAsia" w:ascii="宋体" w:hAnsi="宋体"/>
          <w:color w:val="000000"/>
          <w:szCs w:val="21"/>
        </w:rPr>
        <w:t>一、已认真阅读招标文件并按照要求制作有效的投标文件及相关资料。</w:t>
      </w:r>
    </w:p>
    <w:p w14:paraId="5FD35C8F">
      <w:pPr>
        <w:spacing w:line="360" w:lineRule="auto"/>
        <w:ind w:firstLine="420" w:firstLineChars="200"/>
        <w:rPr>
          <w:rFonts w:hint="eastAsia" w:ascii="宋体" w:hAnsi="宋体"/>
          <w:color w:val="000000"/>
          <w:szCs w:val="21"/>
        </w:rPr>
      </w:pPr>
      <w:r>
        <w:rPr>
          <w:rFonts w:hint="eastAsia" w:ascii="宋体" w:hAnsi="宋体"/>
          <w:color w:val="000000"/>
          <w:szCs w:val="21"/>
        </w:rPr>
        <w:t>二、承诺对提交的投标文件及相关资料的真实性、可靠性负责。</w:t>
      </w:r>
    </w:p>
    <w:p w14:paraId="3E803E89">
      <w:pPr>
        <w:spacing w:line="360" w:lineRule="auto"/>
        <w:ind w:firstLine="420" w:firstLineChars="200"/>
        <w:rPr>
          <w:rFonts w:hint="eastAsia" w:ascii="宋体" w:hAnsi="宋体"/>
          <w:color w:val="000000"/>
          <w:szCs w:val="21"/>
        </w:rPr>
      </w:pPr>
      <w:r>
        <w:rPr>
          <w:rFonts w:hint="eastAsia" w:ascii="宋体" w:hAnsi="宋体"/>
          <w:color w:val="000000"/>
          <w:szCs w:val="21"/>
        </w:rPr>
        <w:t>三、严格遵守并服从贵公司在采购过程中的投标和开标要求。</w:t>
      </w:r>
    </w:p>
    <w:p w14:paraId="18EFD528">
      <w:pPr>
        <w:spacing w:line="360" w:lineRule="auto"/>
        <w:ind w:firstLine="420" w:firstLineChars="200"/>
        <w:rPr>
          <w:rFonts w:hint="eastAsia" w:ascii="宋体" w:hAnsi="宋体"/>
          <w:color w:val="000000"/>
          <w:szCs w:val="21"/>
        </w:rPr>
      </w:pPr>
      <w:r>
        <w:rPr>
          <w:rFonts w:hint="eastAsia" w:ascii="宋体" w:hAnsi="宋体"/>
          <w:color w:val="000000"/>
          <w:szCs w:val="21"/>
        </w:rPr>
        <w:t>如违反上述承诺，我公司无条件接受可能被贵公司否决投标，被认定投标无效、中标无效，及按贵公司的集中采购相关规定而导致的任何处理决定。</w:t>
      </w:r>
    </w:p>
    <w:p w14:paraId="1B503F18">
      <w:pPr>
        <w:spacing w:line="360" w:lineRule="auto"/>
        <w:ind w:right="640"/>
        <w:rPr>
          <w:rFonts w:hint="eastAsia" w:ascii="宋体" w:hAnsi="宋体"/>
          <w:color w:val="000000"/>
          <w:szCs w:val="21"/>
        </w:rPr>
      </w:pPr>
    </w:p>
    <w:p w14:paraId="0692D4E9">
      <w:pPr>
        <w:spacing w:line="360" w:lineRule="auto"/>
        <w:ind w:right="641" w:firstLine="3780" w:firstLineChars="1800"/>
        <w:rPr>
          <w:rFonts w:hint="eastAsia" w:ascii="宋体" w:hAnsi="宋体"/>
          <w:color w:val="000000"/>
          <w:szCs w:val="21"/>
        </w:rPr>
      </w:pPr>
      <w:r>
        <w:rPr>
          <w:rFonts w:hint="eastAsia" w:ascii="宋体" w:hAnsi="宋体"/>
          <w:color w:val="000000"/>
          <w:szCs w:val="21"/>
        </w:rPr>
        <w:t>投标人名称：</w:t>
      </w:r>
    </w:p>
    <w:p w14:paraId="6C9BC2BF">
      <w:pPr>
        <w:spacing w:line="360" w:lineRule="auto"/>
        <w:ind w:right="641" w:firstLine="3780" w:firstLineChars="1800"/>
        <w:rPr>
          <w:rFonts w:hint="eastAsia" w:ascii="宋体" w:hAnsi="宋体"/>
          <w:color w:val="000000"/>
          <w:szCs w:val="21"/>
        </w:rPr>
      </w:pPr>
      <w:r>
        <w:rPr>
          <w:rFonts w:hint="eastAsia" w:ascii="宋体" w:hAnsi="宋体"/>
          <w:color w:val="000000"/>
          <w:szCs w:val="21"/>
        </w:rPr>
        <w:t>法定代表人签字或盖人名章：</w:t>
      </w:r>
    </w:p>
    <w:p w14:paraId="3E49ED82">
      <w:pPr>
        <w:spacing w:line="360" w:lineRule="auto"/>
        <w:ind w:right="641" w:firstLine="3780" w:firstLineChars="1800"/>
        <w:rPr>
          <w:rFonts w:hint="eastAsia" w:ascii="宋体" w:hAnsi="宋体"/>
          <w:color w:val="000000"/>
          <w:sz w:val="24"/>
          <w:szCs w:val="32"/>
        </w:rPr>
      </w:pPr>
      <w:r>
        <w:rPr>
          <w:rFonts w:hint="eastAsia" w:ascii="宋体" w:hAnsi="宋体"/>
          <w:color w:val="000000"/>
          <w:szCs w:val="21"/>
        </w:rPr>
        <w:t>投标人公章：</w:t>
      </w:r>
    </w:p>
    <w:p w14:paraId="39DD45E3">
      <w:pPr>
        <w:rPr>
          <w:rFonts w:ascii="宋体"/>
          <w:color w:val="000000"/>
        </w:rPr>
      </w:pPr>
    </w:p>
    <w:p w14:paraId="59B11976">
      <w:pPr>
        <w:pStyle w:val="4"/>
        <w:rPr>
          <w:rFonts w:hint="eastAsia" w:eastAsia="宋体"/>
          <w:color w:val="000000"/>
        </w:rPr>
      </w:pPr>
      <w:r>
        <w:rPr>
          <w:rFonts w:hint="eastAsia" w:eastAsia="宋体"/>
          <w:color w:val="000000"/>
        </w:rPr>
        <w:t>5.2.1</w:t>
      </w:r>
      <w:r>
        <w:rPr>
          <w:rFonts w:eastAsia="宋体"/>
          <w:color w:val="000000"/>
        </w:rPr>
        <w:t>2</w:t>
      </w:r>
      <w:r>
        <w:rPr>
          <w:rFonts w:hint="eastAsia" w:eastAsia="宋体"/>
          <w:color w:val="000000"/>
        </w:rPr>
        <w:t xml:space="preserve"> 企业实力情况</w:t>
      </w:r>
    </w:p>
    <w:p w14:paraId="7752A54F">
      <w:pPr>
        <w:pStyle w:val="14"/>
        <w:numPr>
          <w:ilvl w:val="0"/>
          <w:numId w:val="9"/>
        </w:numPr>
        <w:spacing w:line="360" w:lineRule="auto"/>
        <w:rPr>
          <w:rFonts w:hint="eastAsia" w:hAnsi="宋体" w:cs="宋体"/>
          <w:color w:val="000000"/>
          <w:sz w:val="21"/>
        </w:rPr>
      </w:pPr>
      <w:r>
        <w:rPr>
          <w:rFonts w:hint="eastAsia" w:hAnsi="宋体" w:cs="宋体"/>
          <w:color w:val="000000"/>
          <w:sz w:val="21"/>
        </w:rPr>
        <w:t>考察投标人从事类似团餐餐饮服务的年限。</w:t>
      </w:r>
    </w:p>
    <w:p w14:paraId="120CE9FB">
      <w:pPr>
        <w:pStyle w:val="14"/>
        <w:spacing w:line="360" w:lineRule="auto"/>
        <w:ind w:left="420" w:leftChars="200"/>
        <w:rPr>
          <w:rFonts w:hint="eastAsia" w:hAnsi="宋体" w:cs="宋体"/>
          <w:color w:val="000000"/>
          <w:sz w:val="21"/>
        </w:rPr>
      </w:pPr>
      <w:r>
        <w:rPr>
          <w:rFonts w:hint="eastAsia" w:hAnsi="宋体" w:cs="宋体"/>
          <w:color w:val="000000"/>
          <w:sz w:val="21"/>
        </w:rPr>
        <w:t>备注：投标人提供最早的类似团餐餐饮服务合同关键页的复印件，至少包括合同首页、体现合同内容页、体现签订时间页、签字盖章页。合同原件备查。</w:t>
      </w:r>
    </w:p>
    <w:p w14:paraId="0BEC0173">
      <w:pPr>
        <w:pStyle w:val="14"/>
        <w:numPr>
          <w:ilvl w:val="0"/>
          <w:numId w:val="9"/>
        </w:numPr>
        <w:spacing w:line="360" w:lineRule="auto"/>
        <w:rPr>
          <w:rFonts w:hint="eastAsia" w:hAnsi="宋体" w:cs="宋体"/>
          <w:color w:val="000000"/>
          <w:sz w:val="21"/>
        </w:rPr>
      </w:pPr>
      <w:r>
        <w:rPr>
          <w:rFonts w:hint="eastAsia" w:hAnsi="宋体" w:cs="宋体"/>
          <w:color w:val="000000"/>
          <w:sz w:val="21"/>
        </w:rPr>
        <w:t>投标人具备服务国家级大型活动接待、重要活动的用餐保障经验。</w:t>
      </w:r>
    </w:p>
    <w:p w14:paraId="3CC9B6B8">
      <w:pPr>
        <w:pStyle w:val="14"/>
        <w:spacing w:line="360" w:lineRule="auto"/>
        <w:ind w:left="420" w:leftChars="200"/>
        <w:rPr>
          <w:rFonts w:hint="eastAsia" w:hAnsi="宋体" w:cs="宋体"/>
          <w:color w:val="000000"/>
          <w:sz w:val="21"/>
        </w:rPr>
      </w:pPr>
      <w:r>
        <w:rPr>
          <w:rFonts w:hint="eastAsia" w:hAnsi="宋体" w:cs="宋体"/>
          <w:color w:val="000000"/>
          <w:sz w:val="21"/>
        </w:rPr>
        <w:t>备注：投标人需提供合同关键页（至少包括合同首页、体现合同内容页、签字盖章页）的复印件。合同原件备查。</w:t>
      </w:r>
    </w:p>
    <w:p w14:paraId="38564FE7">
      <w:pPr>
        <w:pStyle w:val="14"/>
        <w:numPr>
          <w:ilvl w:val="0"/>
          <w:numId w:val="9"/>
        </w:numPr>
        <w:spacing w:line="360" w:lineRule="auto"/>
        <w:rPr>
          <w:rFonts w:hint="eastAsia" w:hAnsi="宋体" w:cs="宋体"/>
          <w:color w:val="000000"/>
          <w:sz w:val="21"/>
        </w:rPr>
      </w:pPr>
      <w:r>
        <w:rPr>
          <w:rFonts w:hint="eastAsia" w:hAnsi="宋体" w:cs="宋体"/>
          <w:color w:val="000000"/>
          <w:sz w:val="21"/>
        </w:rPr>
        <w:t>投标人具备提供中央厨房管理服务经验业绩能力。</w:t>
      </w:r>
    </w:p>
    <w:p w14:paraId="4351F87D">
      <w:pPr>
        <w:pStyle w:val="14"/>
        <w:spacing w:line="360" w:lineRule="auto"/>
        <w:ind w:left="420" w:leftChars="200"/>
        <w:rPr>
          <w:rFonts w:hint="eastAsia" w:hAnsi="宋体" w:cs="宋体"/>
          <w:color w:val="000000"/>
          <w:sz w:val="21"/>
        </w:rPr>
      </w:pPr>
      <w:r>
        <w:rPr>
          <w:rFonts w:hint="eastAsia" w:hAnsi="宋体" w:cs="宋体"/>
          <w:color w:val="000000"/>
          <w:sz w:val="21"/>
        </w:rPr>
        <w:t>备注：投标人需提供合同关键页（至少包括合同首页、体现合同内容页、签字盖章页）的复印件。合同原件备查。</w:t>
      </w:r>
    </w:p>
    <w:p w14:paraId="40112267">
      <w:pPr>
        <w:pStyle w:val="4"/>
        <w:rPr>
          <w:rFonts w:hint="eastAsia" w:eastAsia="宋体"/>
          <w:color w:val="000000"/>
        </w:rPr>
      </w:pPr>
      <w:r>
        <w:rPr>
          <w:rFonts w:hint="eastAsia" w:eastAsia="宋体"/>
          <w:color w:val="000000"/>
        </w:rPr>
        <w:t>5.2.13 投标人业绩</w:t>
      </w:r>
    </w:p>
    <w:p w14:paraId="5FDB9B23">
      <w:pPr>
        <w:pStyle w:val="14"/>
        <w:spacing w:line="360" w:lineRule="auto"/>
        <w:ind w:firstLine="422" w:firstLineChars="200"/>
        <w:rPr>
          <w:rFonts w:hint="eastAsia" w:hAnsi="宋体" w:cs="宋体"/>
          <w:b/>
          <w:bCs/>
          <w:color w:val="000000"/>
          <w:sz w:val="21"/>
          <w:lang w:bidi="ar"/>
        </w:rPr>
      </w:pPr>
      <w:r>
        <w:rPr>
          <w:rFonts w:hint="eastAsia" w:hAnsi="宋体" w:cs="宋体"/>
          <w:b/>
          <w:bCs/>
          <w:color w:val="000000"/>
          <w:sz w:val="21"/>
        </w:rPr>
        <w:t>投标人提供近三年（202</w:t>
      </w:r>
      <w:r>
        <w:rPr>
          <w:rFonts w:hint="eastAsia" w:hAnsi="宋体" w:cs="宋体"/>
          <w:b/>
          <w:bCs/>
          <w:color w:val="000000"/>
          <w:sz w:val="21"/>
          <w:lang w:val="en-US" w:eastAsia="zh-CN"/>
        </w:rPr>
        <w:t>2</w:t>
      </w:r>
      <w:r>
        <w:rPr>
          <w:rFonts w:hint="eastAsia" w:hAnsi="宋体" w:cs="宋体"/>
          <w:b/>
          <w:bCs/>
          <w:color w:val="000000"/>
          <w:sz w:val="21"/>
        </w:rPr>
        <w:t>年1月1日起，以合同签订时间为准）就餐人数满足</w:t>
      </w:r>
      <w:r>
        <w:rPr>
          <w:rFonts w:hint="eastAsia" w:hAnsi="宋体" w:cs="宋体"/>
          <w:b/>
          <w:bCs/>
          <w:color w:val="000000"/>
          <w:sz w:val="21"/>
          <w:lang w:val="en-US" w:eastAsia="zh-CN"/>
        </w:rPr>
        <w:t>8</w:t>
      </w:r>
      <w:r>
        <w:rPr>
          <w:rFonts w:hint="eastAsia" w:hAnsi="宋体" w:cs="宋体"/>
          <w:b/>
          <w:bCs/>
          <w:color w:val="000000"/>
          <w:sz w:val="21"/>
        </w:rPr>
        <w:t>00人（含）以上的项目经验</w:t>
      </w:r>
      <w:r>
        <w:rPr>
          <w:rFonts w:hint="eastAsia" w:hAnsi="宋体" w:cs="宋体"/>
          <w:b/>
          <w:bCs/>
          <w:color w:val="000000"/>
          <w:sz w:val="21"/>
          <w:lang w:bidi="ar"/>
        </w:rPr>
        <w:t>。</w:t>
      </w:r>
    </w:p>
    <w:p w14:paraId="21187472">
      <w:pPr>
        <w:pStyle w:val="14"/>
        <w:spacing w:line="360" w:lineRule="auto"/>
        <w:ind w:firstLine="420" w:firstLineChars="200"/>
        <w:rPr>
          <w:rFonts w:hint="eastAsia" w:hAnsi="宋体" w:cs="宋体"/>
          <w:b/>
          <w:bCs/>
          <w:color w:val="000000"/>
          <w:sz w:val="21"/>
          <w:lang w:bidi="ar"/>
        </w:rPr>
      </w:pPr>
      <w:r>
        <w:rPr>
          <w:rFonts w:hint="eastAsia" w:hAnsi="宋体" w:cs="宋体"/>
          <w:color w:val="000000"/>
          <w:sz w:val="21"/>
        </w:rPr>
        <w:t>注意：投标人须提供合同关键页的复印件，至少包含合同首页、体现合同内容和就餐人数的关键页（合同中不能提供就餐人数的也可提供用户的证明材料）、签订日期页、签字盖章页。</w:t>
      </w:r>
    </w:p>
    <w:p w14:paraId="05F931AC">
      <w:pPr>
        <w:spacing w:line="360" w:lineRule="auto"/>
        <w:ind w:firstLine="420" w:firstLineChars="200"/>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435D28FA">
      <w:pPr>
        <w:spacing w:line="360" w:lineRule="auto"/>
        <w:ind w:firstLine="420" w:firstLineChars="200"/>
        <w:rPr>
          <w:rFonts w:hint="eastAsia" w:ascii="宋体" w:hAnsi="宋体"/>
          <w:color w:val="000000"/>
          <w:szCs w:val="21"/>
        </w:rPr>
      </w:pPr>
      <w:r>
        <w:rPr>
          <w:rFonts w:hint="eastAsia" w:ascii="宋体" w:hAnsi="宋体"/>
          <w:color w:val="000000"/>
          <w:szCs w:val="21"/>
        </w:rPr>
        <w:t>项目编号：</w:t>
      </w:r>
      <w:r>
        <w:rPr>
          <w:rFonts w:hint="eastAsia" w:ascii="宋体" w:hAnsi="宋体"/>
          <w:color w:val="000000"/>
          <w:szCs w:val="21"/>
          <w:u w:val="single"/>
        </w:rPr>
        <w:t xml:space="preserve">                                   </w:t>
      </w:r>
    </w:p>
    <w:p w14:paraId="778C6E4A">
      <w:pPr>
        <w:spacing w:line="360" w:lineRule="auto"/>
        <w:ind w:firstLine="420" w:firstLineChars="200"/>
        <w:jc w:val="left"/>
        <w:rPr>
          <w:rFonts w:hint="eastAsia"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p>
    <w:p w14:paraId="08685682">
      <w:pPr>
        <w:ind w:firstLine="420"/>
        <w:jc w:val="left"/>
        <w:rPr>
          <w:rFonts w:hint="eastAsia" w:ascii="宋体" w:hAnsi="宋体"/>
          <w:color w:val="000000"/>
          <w:szCs w:val="21"/>
        </w:rPr>
      </w:pP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452"/>
        <w:gridCol w:w="1105"/>
        <w:gridCol w:w="1226"/>
        <w:gridCol w:w="1226"/>
        <w:gridCol w:w="1091"/>
        <w:gridCol w:w="1214"/>
        <w:gridCol w:w="725"/>
      </w:tblGrid>
      <w:tr w14:paraId="3225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2BAB08BE">
            <w:pPr>
              <w:jc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852" w:type="pct"/>
            <w:tcBorders>
              <w:top w:val="single" w:color="auto" w:sz="4" w:space="0"/>
              <w:left w:val="single" w:color="auto" w:sz="4" w:space="0"/>
              <w:bottom w:val="single" w:color="auto" w:sz="4" w:space="0"/>
              <w:right w:val="single" w:color="auto" w:sz="4" w:space="0"/>
            </w:tcBorders>
            <w:vAlign w:val="center"/>
          </w:tcPr>
          <w:p w14:paraId="55D9C28A">
            <w:pPr>
              <w:jc w:val="center"/>
              <w:rPr>
                <w:rFonts w:hint="eastAsia" w:ascii="宋体" w:hAnsi="宋体" w:cs="宋体"/>
                <w:color w:val="000000"/>
                <w:szCs w:val="21"/>
              </w:rPr>
            </w:pPr>
            <w:r>
              <w:rPr>
                <w:rFonts w:hint="eastAsia" w:ascii="宋体" w:hAnsi="宋体" w:cs="宋体"/>
                <w:color w:val="000000"/>
                <w:szCs w:val="21"/>
                <w:lang w:bidi="ar"/>
              </w:rPr>
              <w:t>项目名称</w:t>
            </w:r>
          </w:p>
        </w:tc>
        <w:tc>
          <w:tcPr>
            <w:tcW w:w="648" w:type="pct"/>
            <w:tcBorders>
              <w:top w:val="single" w:color="auto" w:sz="4" w:space="0"/>
              <w:left w:val="single" w:color="auto" w:sz="4" w:space="0"/>
              <w:bottom w:val="single" w:color="auto" w:sz="4" w:space="0"/>
              <w:right w:val="single" w:color="auto" w:sz="4" w:space="0"/>
            </w:tcBorders>
            <w:vAlign w:val="center"/>
          </w:tcPr>
          <w:p w14:paraId="4C63B65D">
            <w:pPr>
              <w:jc w:val="center"/>
              <w:rPr>
                <w:rFonts w:hint="eastAsia" w:ascii="宋体" w:hAnsi="宋体" w:cs="宋体"/>
                <w:color w:val="000000"/>
                <w:kern w:val="0"/>
                <w:szCs w:val="21"/>
              </w:rPr>
            </w:pPr>
            <w:r>
              <w:rPr>
                <w:rFonts w:hint="eastAsia" w:ascii="宋体" w:hAnsi="宋体" w:cs="宋体"/>
                <w:color w:val="000000"/>
                <w:kern w:val="0"/>
                <w:szCs w:val="21"/>
                <w:lang w:bidi="ar"/>
              </w:rPr>
              <w:t>合同</w:t>
            </w:r>
          </w:p>
          <w:p w14:paraId="326FA05A">
            <w:pPr>
              <w:jc w:val="center"/>
              <w:rPr>
                <w:rFonts w:hint="eastAsia" w:ascii="宋体" w:hAnsi="宋体" w:cs="宋体"/>
                <w:color w:val="000000"/>
                <w:szCs w:val="21"/>
              </w:rPr>
            </w:pPr>
            <w:r>
              <w:rPr>
                <w:rFonts w:hint="eastAsia" w:ascii="宋体" w:hAnsi="宋体" w:cs="宋体"/>
                <w:color w:val="000000"/>
                <w:kern w:val="0"/>
                <w:szCs w:val="21"/>
                <w:lang w:bidi="ar"/>
              </w:rPr>
              <w:t>签订日期</w:t>
            </w:r>
          </w:p>
        </w:tc>
        <w:tc>
          <w:tcPr>
            <w:tcW w:w="719" w:type="pct"/>
            <w:tcBorders>
              <w:top w:val="single" w:color="auto" w:sz="4" w:space="0"/>
              <w:left w:val="single" w:color="auto" w:sz="4" w:space="0"/>
              <w:bottom w:val="single" w:color="auto" w:sz="4" w:space="0"/>
              <w:right w:val="single" w:color="auto" w:sz="4" w:space="0"/>
            </w:tcBorders>
            <w:vAlign w:val="center"/>
          </w:tcPr>
          <w:p w14:paraId="7E75ECC6">
            <w:pPr>
              <w:jc w:val="center"/>
              <w:rPr>
                <w:rFonts w:hint="eastAsia" w:ascii="宋体" w:hAnsi="宋体" w:cs="宋体"/>
                <w:color w:val="000000"/>
                <w:szCs w:val="21"/>
                <w:lang w:bidi="ar"/>
              </w:rPr>
            </w:pPr>
            <w:r>
              <w:rPr>
                <w:rFonts w:hint="eastAsia" w:ascii="宋体" w:hAnsi="宋体" w:cs="宋体"/>
                <w:color w:val="000000"/>
                <w:szCs w:val="21"/>
                <w:lang w:bidi="ar"/>
              </w:rPr>
              <w:t>就餐人数</w:t>
            </w:r>
          </w:p>
        </w:tc>
        <w:tc>
          <w:tcPr>
            <w:tcW w:w="719" w:type="pct"/>
            <w:tcBorders>
              <w:top w:val="single" w:color="auto" w:sz="4" w:space="0"/>
              <w:left w:val="single" w:color="auto" w:sz="4" w:space="0"/>
              <w:bottom w:val="single" w:color="auto" w:sz="4" w:space="0"/>
              <w:right w:val="single" w:color="auto" w:sz="4" w:space="0"/>
            </w:tcBorders>
            <w:vAlign w:val="center"/>
          </w:tcPr>
          <w:p w14:paraId="1136A462">
            <w:pPr>
              <w:jc w:val="center"/>
              <w:rPr>
                <w:rFonts w:hint="eastAsia" w:ascii="宋体" w:hAnsi="宋体" w:cs="宋体"/>
                <w:color w:val="000000"/>
                <w:szCs w:val="21"/>
              </w:rPr>
            </w:pPr>
            <w:r>
              <w:rPr>
                <w:rFonts w:hint="eastAsia" w:ascii="宋体" w:hAnsi="宋体" w:cs="宋体"/>
                <w:color w:val="000000"/>
                <w:szCs w:val="21"/>
                <w:lang w:bidi="ar"/>
              </w:rPr>
              <w:t>合同签署</w:t>
            </w:r>
          </w:p>
          <w:p w14:paraId="7E907F5E">
            <w:pPr>
              <w:jc w:val="center"/>
              <w:rPr>
                <w:rFonts w:hint="eastAsia" w:ascii="宋体" w:hAnsi="宋体" w:cs="宋体"/>
                <w:color w:val="000000"/>
                <w:szCs w:val="21"/>
              </w:rPr>
            </w:pPr>
            <w:r>
              <w:rPr>
                <w:rFonts w:hint="eastAsia" w:ascii="宋体" w:hAnsi="宋体" w:cs="宋体"/>
                <w:color w:val="000000"/>
                <w:szCs w:val="21"/>
                <w:lang w:bidi="ar"/>
              </w:rPr>
              <w:t>各方名称</w:t>
            </w:r>
          </w:p>
        </w:tc>
        <w:tc>
          <w:tcPr>
            <w:tcW w:w="640" w:type="pct"/>
            <w:tcBorders>
              <w:top w:val="single" w:color="auto" w:sz="4" w:space="0"/>
              <w:left w:val="single" w:color="auto" w:sz="4" w:space="0"/>
              <w:bottom w:val="single" w:color="auto" w:sz="4" w:space="0"/>
              <w:right w:val="single" w:color="auto" w:sz="4" w:space="0"/>
            </w:tcBorders>
            <w:vAlign w:val="center"/>
          </w:tcPr>
          <w:p w14:paraId="546FB126">
            <w:pPr>
              <w:jc w:val="center"/>
              <w:rPr>
                <w:rFonts w:hint="eastAsia" w:ascii="宋体" w:hAnsi="宋体" w:cs="宋体"/>
                <w:color w:val="000000"/>
                <w:szCs w:val="21"/>
              </w:rPr>
            </w:pPr>
            <w:r>
              <w:rPr>
                <w:rFonts w:hint="eastAsia" w:ascii="宋体" w:hAnsi="宋体" w:cs="宋体"/>
                <w:color w:val="000000"/>
                <w:szCs w:val="21"/>
                <w:lang w:bidi="ar"/>
              </w:rPr>
              <w:t>项目概述</w:t>
            </w:r>
          </w:p>
        </w:tc>
        <w:tc>
          <w:tcPr>
            <w:tcW w:w="712" w:type="pct"/>
            <w:tcBorders>
              <w:top w:val="single" w:color="auto" w:sz="4" w:space="0"/>
              <w:left w:val="single" w:color="auto" w:sz="4" w:space="0"/>
              <w:bottom w:val="single" w:color="auto" w:sz="4" w:space="0"/>
              <w:right w:val="single" w:color="auto" w:sz="4" w:space="0"/>
            </w:tcBorders>
            <w:vAlign w:val="center"/>
          </w:tcPr>
          <w:p w14:paraId="3B4EDAEB">
            <w:pPr>
              <w:jc w:val="center"/>
              <w:rPr>
                <w:rFonts w:hint="eastAsia" w:ascii="宋体" w:hAnsi="宋体" w:cs="宋体"/>
                <w:color w:val="000000"/>
                <w:szCs w:val="21"/>
              </w:rPr>
            </w:pPr>
            <w:r>
              <w:rPr>
                <w:rFonts w:hint="eastAsia" w:ascii="宋体" w:hAnsi="宋体" w:cs="宋体"/>
                <w:color w:val="000000"/>
                <w:szCs w:val="21"/>
                <w:lang w:bidi="ar"/>
              </w:rPr>
              <w:t>合同在投标文件中所在页码</w:t>
            </w:r>
          </w:p>
        </w:tc>
        <w:tc>
          <w:tcPr>
            <w:tcW w:w="425" w:type="pct"/>
            <w:tcBorders>
              <w:top w:val="single" w:color="auto" w:sz="4" w:space="0"/>
              <w:left w:val="single" w:color="auto" w:sz="4" w:space="0"/>
              <w:bottom w:val="single" w:color="auto" w:sz="4" w:space="0"/>
              <w:right w:val="single" w:color="auto" w:sz="4" w:space="0"/>
            </w:tcBorders>
            <w:vAlign w:val="center"/>
          </w:tcPr>
          <w:p w14:paraId="34091B14">
            <w:pPr>
              <w:jc w:val="center"/>
              <w:rPr>
                <w:rFonts w:hint="eastAsia" w:ascii="宋体" w:hAnsi="宋体" w:cs="宋体"/>
                <w:color w:val="000000"/>
                <w:szCs w:val="21"/>
              </w:rPr>
            </w:pPr>
            <w:r>
              <w:rPr>
                <w:rFonts w:hint="eastAsia" w:ascii="宋体" w:hAnsi="宋体" w:cs="宋体"/>
                <w:color w:val="000000"/>
                <w:szCs w:val="21"/>
                <w:lang w:bidi="ar"/>
              </w:rPr>
              <w:t>备注</w:t>
            </w:r>
          </w:p>
        </w:tc>
      </w:tr>
      <w:tr w14:paraId="1805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A645D66">
            <w:pPr>
              <w:widowControl/>
              <w:jc w:val="center"/>
              <w:rPr>
                <w:rFonts w:hint="eastAsia" w:ascii="宋体" w:hAnsi="宋体" w:cs="宋体"/>
                <w:color w:val="000000"/>
                <w:kern w:val="0"/>
                <w:szCs w:val="21"/>
              </w:rPr>
            </w:pPr>
            <w:r>
              <w:rPr>
                <w:rFonts w:hint="eastAsia" w:ascii="宋体" w:hAnsi="宋体" w:cs="宋体"/>
                <w:color w:val="000000"/>
                <w:kern w:val="0"/>
                <w:szCs w:val="21"/>
                <w:lang w:bidi="ar"/>
              </w:rPr>
              <w:t>1</w:t>
            </w:r>
          </w:p>
        </w:tc>
        <w:tc>
          <w:tcPr>
            <w:tcW w:w="852" w:type="pct"/>
            <w:tcBorders>
              <w:top w:val="single" w:color="auto" w:sz="4" w:space="0"/>
              <w:left w:val="single" w:color="auto" w:sz="4" w:space="0"/>
              <w:bottom w:val="single" w:color="auto" w:sz="4" w:space="0"/>
              <w:right w:val="single" w:color="auto" w:sz="4" w:space="0"/>
            </w:tcBorders>
            <w:vAlign w:val="center"/>
          </w:tcPr>
          <w:p w14:paraId="27FB2F78">
            <w:pPr>
              <w:jc w:val="center"/>
              <w:rPr>
                <w:rFonts w:hint="eastAsia" w:ascii="宋体" w:hAnsi="宋体" w:cs="宋体"/>
                <w:color w:val="000000"/>
                <w:szCs w:val="21"/>
              </w:rPr>
            </w:pPr>
          </w:p>
        </w:tc>
        <w:tc>
          <w:tcPr>
            <w:tcW w:w="648" w:type="pct"/>
            <w:tcBorders>
              <w:top w:val="single" w:color="auto" w:sz="4" w:space="0"/>
              <w:left w:val="single" w:color="auto" w:sz="4" w:space="0"/>
              <w:bottom w:val="single" w:color="auto" w:sz="4" w:space="0"/>
              <w:right w:val="single" w:color="auto" w:sz="4" w:space="0"/>
            </w:tcBorders>
            <w:vAlign w:val="center"/>
          </w:tcPr>
          <w:p w14:paraId="573E1478">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F2BCFB0">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F029C98">
            <w:pPr>
              <w:jc w:val="center"/>
              <w:rPr>
                <w:rFonts w:hint="eastAsia" w:ascii="宋体" w:hAnsi="宋体" w:cs="宋体"/>
                <w:color w:val="000000"/>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2F34A2CF">
            <w:pPr>
              <w:jc w:val="center"/>
              <w:rPr>
                <w:rFonts w:hint="eastAsia" w:ascii="宋体" w:hAnsi="宋体" w:cs="宋体"/>
                <w:color w:val="000000"/>
                <w:szCs w:val="21"/>
              </w:rPr>
            </w:pPr>
          </w:p>
        </w:tc>
        <w:tc>
          <w:tcPr>
            <w:tcW w:w="712" w:type="pct"/>
            <w:tcBorders>
              <w:top w:val="single" w:color="auto" w:sz="4" w:space="0"/>
              <w:left w:val="single" w:color="auto" w:sz="4" w:space="0"/>
              <w:bottom w:val="single" w:color="auto" w:sz="4" w:space="0"/>
              <w:right w:val="single" w:color="auto" w:sz="4" w:space="0"/>
            </w:tcBorders>
            <w:vAlign w:val="center"/>
          </w:tcPr>
          <w:p w14:paraId="7B4DA641">
            <w:pPr>
              <w:jc w:val="center"/>
              <w:rPr>
                <w:rFonts w:hint="eastAsia" w:ascii="宋体" w:hAnsi="宋体" w:cs="宋体"/>
                <w:color w:val="00000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7DCEAC44">
            <w:pPr>
              <w:jc w:val="center"/>
              <w:rPr>
                <w:rFonts w:hint="eastAsia" w:ascii="宋体" w:hAnsi="宋体" w:cs="宋体"/>
                <w:color w:val="000000"/>
                <w:szCs w:val="21"/>
              </w:rPr>
            </w:pPr>
          </w:p>
        </w:tc>
      </w:tr>
      <w:tr w14:paraId="367F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1B682B48">
            <w:pPr>
              <w:widowControl/>
              <w:jc w:val="center"/>
              <w:rPr>
                <w:rFonts w:hint="eastAsia" w:ascii="宋体" w:hAnsi="宋体" w:cs="宋体"/>
                <w:color w:val="000000"/>
                <w:kern w:val="0"/>
                <w:szCs w:val="21"/>
              </w:rPr>
            </w:pPr>
            <w:r>
              <w:rPr>
                <w:rFonts w:hint="eastAsia" w:ascii="宋体" w:hAnsi="宋体" w:cs="宋体"/>
                <w:color w:val="000000"/>
                <w:kern w:val="0"/>
                <w:szCs w:val="21"/>
                <w:lang w:bidi="ar"/>
              </w:rPr>
              <w:t>2</w:t>
            </w:r>
          </w:p>
        </w:tc>
        <w:tc>
          <w:tcPr>
            <w:tcW w:w="852" w:type="pct"/>
            <w:tcBorders>
              <w:top w:val="single" w:color="auto" w:sz="4" w:space="0"/>
              <w:left w:val="single" w:color="auto" w:sz="4" w:space="0"/>
              <w:bottom w:val="single" w:color="auto" w:sz="4" w:space="0"/>
              <w:right w:val="single" w:color="auto" w:sz="4" w:space="0"/>
            </w:tcBorders>
            <w:vAlign w:val="center"/>
          </w:tcPr>
          <w:p w14:paraId="4E0A1818">
            <w:pPr>
              <w:jc w:val="center"/>
              <w:rPr>
                <w:rFonts w:hint="eastAsia" w:ascii="宋体" w:hAnsi="宋体" w:cs="宋体"/>
                <w:color w:val="000000"/>
                <w:szCs w:val="21"/>
              </w:rPr>
            </w:pPr>
          </w:p>
        </w:tc>
        <w:tc>
          <w:tcPr>
            <w:tcW w:w="648" w:type="pct"/>
            <w:tcBorders>
              <w:top w:val="single" w:color="auto" w:sz="4" w:space="0"/>
              <w:left w:val="single" w:color="auto" w:sz="4" w:space="0"/>
              <w:bottom w:val="single" w:color="auto" w:sz="4" w:space="0"/>
              <w:right w:val="single" w:color="auto" w:sz="4" w:space="0"/>
            </w:tcBorders>
            <w:vAlign w:val="center"/>
          </w:tcPr>
          <w:p w14:paraId="7C475B20">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4186AEA4">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1D319B03">
            <w:pPr>
              <w:jc w:val="center"/>
              <w:rPr>
                <w:rFonts w:hint="eastAsia" w:ascii="宋体" w:hAnsi="宋体" w:cs="宋体"/>
                <w:color w:val="000000"/>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2F041F0A">
            <w:pPr>
              <w:jc w:val="center"/>
              <w:rPr>
                <w:rFonts w:hint="eastAsia" w:ascii="宋体" w:hAnsi="宋体" w:cs="宋体"/>
                <w:color w:val="000000"/>
                <w:szCs w:val="21"/>
              </w:rPr>
            </w:pPr>
          </w:p>
        </w:tc>
        <w:tc>
          <w:tcPr>
            <w:tcW w:w="712" w:type="pct"/>
            <w:tcBorders>
              <w:top w:val="single" w:color="auto" w:sz="4" w:space="0"/>
              <w:left w:val="single" w:color="auto" w:sz="4" w:space="0"/>
              <w:bottom w:val="single" w:color="auto" w:sz="4" w:space="0"/>
              <w:right w:val="single" w:color="auto" w:sz="4" w:space="0"/>
            </w:tcBorders>
            <w:vAlign w:val="center"/>
          </w:tcPr>
          <w:p w14:paraId="5DA7E96A">
            <w:pPr>
              <w:jc w:val="center"/>
              <w:rPr>
                <w:rFonts w:hint="eastAsia" w:ascii="宋体" w:hAnsi="宋体" w:cs="宋体"/>
                <w:color w:val="00000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36CB2ADD">
            <w:pPr>
              <w:jc w:val="center"/>
              <w:rPr>
                <w:rFonts w:hint="eastAsia" w:ascii="宋体" w:hAnsi="宋体" w:cs="宋体"/>
                <w:color w:val="000000"/>
                <w:szCs w:val="21"/>
              </w:rPr>
            </w:pPr>
          </w:p>
        </w:tc>
      </w:tr>
      <w:tr w14:paraId="344A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2CD51EA9">
            <w:pPr>
              <w:widowControl/>
              <w:jc w:val="center"/>
              <w:rPr>
                <w:rFonts w:hint="eastAsia" w:ascii="宋体" w:hAnsi="宋体" w:cs="宋体"/>
                <w:color w:val="000000"/>
                <w:kern w:val="0"/>
                <w:szCs w:val="21"/>
              </w:rPr>
            </w:pPr>
            <w:r>
              <w:rPr>
                <w:rFonts w:hint="eastAsia" w:ascii="宋体" w:hAnsi="宋体" w:cs="宋体"/>
                <w:color w:val="000000"/>
                <w:kern w:val="0"/>
                <w:szCs w:val="21"/>
                <w:lang w:bidi="ar"/>
              </w:rPr>
              <w:t>…</w:t>
            </w:r>
          </w:p>
        </w:tc>
        <w:tc>
          <w:tcPr>
            <w:tcW w:w="852" w:type="pct"/>
            <w:tcBorders>
              <w:top w:val="single" w:color="auto" w:sz="4" w:space="0"/>
              <w:left w:val="single" w:color="auto" w:sz="4" w:space="0"/>
              <w:bottom w:val="single" w:color="auto" w:sz="4" w:space="0"/>
              <w:right w:val="single" w:color="auto" w:sz="4" w:space="0"/>
            </w:tcBorders>
            <w:vAlign w:val="center"/>
          </w:tcPr>
          <w:p w14:paraId="51DC92A7">
            <w:pPr>
              <w:jc w:val="center"/>
              <w:rPr>
                <w:rFonts w:hint="eastAsia" w:ascii="宋体" w:hAnsi="宋体" w:cs="宋体"/>
                <w:color w:val="000000"/>
                <w:szCs w:val="21"/>
              </w:rPr>
            </w:pPr>
          </w:p>
        </w:tc>
        <w:tc>
          <w:tcPr>
            <w:tcW w:w="648" w:type="pct"/>
            <w:tcBorders>
              <w:top w:val="single" w:color="auto" w:sz="4" w:space="0"/>
              <w:left w:val="single" w:color="auto" w:sz="4" w:space="0"/>
              <w:bottom w:val="single" w:color="auto" w:sz="4" w:space="0"/>
              <w:right w:val="single" w:color="auto" w:sz="4" w:space="0"/>
            </w:tcBorders>
            <w:vAlign w:val="center"/>
          </w:tcPr>
          <w:p w14:paraId="2445C63A">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10B60477">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B4C38AE">
            <w:pPr>
              <w:jc w:val="center"/>
              <w:rPr>
                <w:rFonts w:hint="eastAsia" w:ascii="宋体" w:hAnsi="宋体" w:cs="宋体"/>
                <w:color w:val="000000"/>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674EC4BF">
            <w:pPr>
              <w:jc w:val="center"/>
              <w:rPr>
                <w:rFonts w:hint="eastAsia" w:ascii="宋体" w:hAnsi="宋体" w:cs="宋体"/>
                <w:color w:val="000000"/>
                <w:szCs w:val="21"/>
              </w:rPr>
            </w:pPr>
          </w:p>
        </w:tc>
        <w:tc>
          <w:tcPr>
            <w:tcW w:w="712" w:type="pct"/>
            <w:tcBorders>
              <w:top w:val="single" w:color="auto" w:sz="4" w:space="0"/>
              <w:left w:val="single" w:color="auto" w:sz="4" w:space="0"/>
              <w:bottom w:val="single" w:color="auto" w:sz="4" w:space="0"/>
              <w:right w:val="single" w:color="auto" w:sz="4" w:space="0"/>
            </w:tcBorders>
            <w:vAlign w:val="center"/>
          </w:tcPr>
          <w:p w14:paraId="18498760">
            <w:pPr>
              <w:jc w:val="center"/>
              <w:rPr>
                <w:rFonts w:hint="eastAsia" w:ascii="宋体" w:hAnsi="宋体" w:cs="宋体"/>
                <w:color w:val="00000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03F6BB93">
            <w:pPr>
              <w:jc w:val="center"/>
              <w:rPr>
                <w:rFonts w:hint="eastAsia" w:ascii="宋体" w:hAnsi="宋体" w:cs="宋体"/>
                <w:color w:val="000000"/>
                <w:szCs w:val="21"/>
              </w:rPr>
            </w:pPr>
          </w:p>
        </w:tc>
      </w:tr>
      <w:tr w14:paraId="29A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74951C9E">
            <w:pPr>
              <w:widowControl/>
              <w:jc w:val="center"/>
              <w:rPr>
                <w:rFonts w:hint="eastAsia" w:ascii="宋体" w:hAnsi="宋体" w:cs="宋体"/>
                <w:color w:val="000000"/>
                <w:kern w:val="0"/>
                <w:szCs w:val="21"/>
              </w:rPr>
            </w:pPr>
          </w:p>
        </w:tc>
        <w:tc>
          <w:tcPr>
            <w:tcW w:w="852" w:type="pct"/>
            <w:tcBorders>
              <w:top w:val="single" w:color="auto" w:sz="4" w:space="0"/>
              <w:left w:val="single" w:color="auto" w:sz="4" w:space="0"/>
              <w:bottom w:val="single" w:color="auto" w:sz="4" w:space="0"/>
              <w:right w:val="single" w:color="auto" w:sz="4" w:space="0"/>
            </w:tcBorders>
            <w:vAlign w:val="center"/>
          </w:tcPr>
          <w:p w14:paraId="4987D936">
            <w:pPr>
              <w:jc w:val="center"/>
              <w:rPr>
                <w:rFonts w:hint="eastAsia" w:ascii="宋体" w:hAnsi="宋体" w:cs="宋体"/>
                <w:color w:val="000000"/>
                <w:szCs w:val="21"/>
              </w:rPr>
            </w:pPr>
          </w:p>
        </w:tc>
        <w:tc>
          <w:tcPr>
            <w:tcW w:w="648" w:type="pct"/>
            <w:tcBorders>
              <w:top w:val="single" w:color="auto" w:sz="4" w:space="0"/>
              <w:left w:val="single" w:color="auto" w:sz="4" w:space="0"/>
              <w:bottom w:val="single" w:color="auto" w:sz="4" w:space="0"/>
              <w:right w:val="single" w:color="auto" w:sz="4" w:space="0"/>
            </w:tcBorders>
            <w:vAlign w:val="center"/>
          </w:tcPr>
          <w:p w14:paraId="30D8D7A5">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E29A472">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9934266">
            <w:pPr>
              <w:jc w:val="center"/>
              <w:rPr>
                <w:rFonts w:hint="eastAsia" w:ascii="宋体" w:hAnsi="宋体" w:cs="宋体"/>
                <w:color w:val="000000"/>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799791F1">
            <w:pPr>
              <w:jc w:val="center"/>
              <w:rPr>
                <w:rFonts w:hint="eastAsia" w:ascii="宋体" w:hAnsi="宋体" w:cs="宋体"/>
                <w:color w:val="000000"/>
                <w:szCs w:val="21"/>
              </w:rPr>
            </w:pPr>
          </w:p>
        </w:tc>
        <w:tc>
          <w:tcPr>
            <w:tcW w:w="712" w:type="pct"/>
            <w:tcBorders>
              <w:top w:val="single" w:color="auto" w:sz="4" w:space="0"/>
              <w:left w:val="single" w:color="auto" w:sz="4" w:space="0"/>
              <w:bottom w:val="single" w:color="auto" w:sz="4" w:space="0"/>
              <w:right w:val="single" w:color="auto" w:sz="4" w:space="0"/>
            </w:tcBorders>
            <w:vAlign w:val="center"/>
          </w:tcPr>
          <w:p w14:paraId="4DF0DC4A">
            <w:pPr>
              <w:jc w:val="center"/>
              <w:rPr>
                <w:rFonts w:hint="eastAsia" w:ascii="宋体" w:hAnsi="宋体" w:cs="宋体"/>
                <w:color w:val="00000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6A1A3A1D">
            <w:pPr>
              <w:jc w:val="center"/>
              <w:rPr>
                <w:rFonts w:hint="eastAsia" w:ascii="宋体" w:hAnsi="宋体" w:cs="宋体"/>
                <w:color w:val="000000"/>
                <w:szCs w:val="21"/>
              </w:rPr>
            </w:pPr>
          </w:p>
        </w:tc>
      </w:tr>
      <w:tr w14:paraId="25CF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1C0FA92D">
            <w:pPr>
              <w:widowControl/>
              <w:jc w:val="center"/>
              <w:rPr>
                <w:rFonts w:hint="eastAsia" w:ascii="宋体" w:hAnsi="宋体" w:cs="宋体"/>
                <w:color w:val="000000"/>
                <w:kern w:val="0"/>
                <w:szCs w:val="21"/>
              </w:rPr>
            </w:pPr>
          </w:p>
        </w:tc>
        <w:tc>
          <w:tcPr>
            <w:tcW w:w="852" w:type="pct"/>
            <w:tcBorders>
              <w:top w:val="single" w:color="auto" w:sz="4" w:space="0"/>
              <w:left w:val="single" w:color="auto" w:sz="4" w:space="0"/>
              <w:bottom w:val="single" w:color="auto" w:sz="4" w:space="0"/>
              <w:right w:val="single" w:color="auto" w:sz="4" w:space="0"/>
            </w:tcBorders>
            <w:vAlign w:val="center"/>
          </w:tcPr>
          <w:p w14:paraId="6A265995">
            <w:pPr>
              <w:jc w:val="center"/>
              <w:rPr>
                <w:rFonts w:hint="eastAsia" w:ascii="宋体" w:hAnsi="宋体" w:cs="宋体"/>
                <w:color w:val="000000"/>
                <w:szCs w:val="21"/>
              </w:rPr>
            </w:pPr>
          </w:p>
        </w:tc>
        <w:tc>
          <w:tcPr>
            <w:tcW w:w="648" w:type="pct"/>
            <w:tcBorders>
              <w:top w:val="single" w:color="auto" w:sz="4" w:space="0"/>
              <w:left w:val="single" w:color="auto" w:sz="4" w:space="0"/>
              <w:bottom w:val="single" w:color="auto" w:sz="4" w:space="0"/>
              <w:right w:val="single" w:color="auto" w:sz="4" w:space="0"/>
            </w:tcBorders>
            <w:vAlign w:val="center"/>
          </w:tcPr>
          <w:p w14:paraId="7E34A4C7">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10E0FD79">
            <w:pPr>
              <w:jc w:val="center"/>
              <w:rPr>
                <w:rFonts w:hint="eastAsia" w:ascii="宋体" w:hAnsi="宋体" w:cs="宋体"/>
                <w:color w:val="00000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37A5963">
            <w:pPr>
              <w:jc w:val="center"/>
              <w:rPr>
                <w:rFonts w:hint="eastAsia" w:ascii="宋体" w:hAnsi="宋体" w:cs="宋体"/>
                <w:color w:val="000000"/>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0CC3DAF0">
            <w:pPr>
              <w:jc w:val="center"/>
              <w:rPr>
                <w:rFonts w:hint="eastAsia" w:ascii="宋体" w:hAnsi="宋体" w:cs="宋体"/>
                <w:color w:val="000000"/>
                <w:szCs w:val="21"/>
              </w:rPr>
            </w:pPr>
          </w:p>
        </w:tc>
        <w:tc>
          <w:tcPr>
            <w:tcW w:w="712" w:type="pct"/>
            <w:tcBorders>
              <w:top w:val="single" w:color="auto" w:sz="4" w:space="0"/>
              <w:left w:val="single" w:color="auto" w:sz="4" w:space="0"/>
              <w:bottom w:val="single" w:color="auto" w:sz="4" w:space="0"/>
              <w:right w:val="single" w:color="auto" w:sz="4" w:space="0"/>
            </w:tcBorders>
            <w:vAlign w:val="center"/>
          </w:tcPr>
          <w:p w14:paraId="7EBE83FE">
            <w:pPr>
              <w:jc w:val="center"/>
              <w:rPr>
                <w:rFonts w:hint="eastAsia" w:ascii="宋体" w:hAnsi="宋体" w:cs="宋体"/>
                <w:color w:val="000000"/>
                <w:szCs w:val="21"/>
              </w:rPr>
            </w:pPr>
          </w:p>
        </w:tc>
        <w:tc>
          <w:tcPr>
            <w:tcW w:w="425" w:type="pct"/>
            <w:tcBorders>
              <w:top w:val="single" w:color="auto" w:sz="4" w:space="0"/>
              <w:left w:val="single" w:color="auto" w:sz="4" w:space="0"/>
              <w:bottom w:val="single" w:color="auto" w:sz="4" w:space="0"/>
              <w:right w:val="single" w:color="auto" w:sz="4" w:space="0"/>
            </w:tcBorders>
            <w:vAlign w:val="center"/>
          </w:tcPr>
          <w:p w14:paraId="3648C0EA">
            <w:pPr>
              <w:jc w:val="center"/>
              <w:rPr>
                <w:rFonts w:hint="eastAsia" w:ascii="宋体" w:hAnsi="宋体" w:cs="宋体"/>
                <w:color w:val="000000"/>
                <w:szCs w:val="21"/>
              </w:rPr>
            </w:pPr>
          </w:p>
        </w:tc>
      </w:tr>
    </w:tbl>
    <w:p w14:paraId="61D853AE">
      <w:pPr>
        <w:ind w:firstLine="420"/>
        <w:rPr>
          <w:rFonts w:hint="eastAsia" w:ascii="宋体" w:hAnsi="宋体"/>
          <w:color w:val="000000"/>
          <w:szCs w:val="21"/>
        </w:rPr>
      </w:pPr>
      <w:r>
        <w:rPr>
          <w:rFonts w:hint="eastAsia" w:ascii="宋体" w:hAnsi="宋体"/>
          <w:color w:val="000000"/>
          <w:szCs w:val="21"/>
        </w:rPr>
        <w:t>备注：</w:t>
      </w:r>
    </w:p>
    <w:p w14:paraId="6B0F6667">
      <w:pPr>
        <w:ind w:firstLine="420"/>
        <w:rPr>
          <w:rFonts w:hint="eastAsia" w:ascii="宋体" w:hAnsi="宋体"/>
          <w:color w:val="000000"/>
          <w:szCs w:val="21"/>
        </w:rPr>
      </w:pPr>
      <w:r>
        <w:rPr>
          <w:rFonts w:hint="eastAsia" w:ascii="宋体" w:hAnsi="宋体"/>
          <w:color w:val="000000"/>
          <w:szCs w:val="21"/>
        </w:rPr>
        <w:t>1.投标人可根据以上内容调节案例情况表</w:t>
      </w:r>
    </w:p>
    <w:p w14:paraId="560AADCC">
      <w:pPr>
        <w:ind w:firstLine="420"/>
        <w:rPr>
          <w:rFonts w:hint="eastAsia" w:ascii="宋体" w:hAnsi="宋体"/>
          <w:color w:val="000000"/>
          <w:szCs w:val="21"/>
        </w:rPr>
      </w:pPr>
      <w:r>
        <w:rPr>
          <w:rFonts w:hint="eastAsia" w:ascii="宋体" w:hAnsi="宋体"/>
          <w:color w:val="000000"/>
          <w:szCs w:val="21"/>
        </w:rPr>
        <w:t>2.本表中信息如有虚假，一经查实将导致其投标文件被拒绝。</w:t>
      </w:r>
    </w:p>
    <w:p w14:paraId="5BBD68F4">
      <w:pPr>
        <w:ind w:firstLine="420"/>
        <w:rPr>
          <w:rFonts w:hint="eastAsia" w:ascii="宋体" w:hAnsi="宋体"/>
          <w:color w:val="000000"/>
          <w:szCs w:val="21"/>
        </w:rPr>
      </w:pPr>
      <w:r>
        <w:rPr>
          <w:rFonts w:hint="eastAsia" w:ascii="宋体" w:hAnsi="宋体"/>
          <w:color w:val="000000"/>
          <w:szCs w:val="21"/>
        </w:rPr>
        <w:t>3.业绩证明文件需按照业绩一览表序号顺序提供。</w:t>
      </w:r>
    </w:p>
    <w:p w14:paraId="57F45DF5">
      <w:pPr>
        <w:ind w:firstLine="420"/>
        <w:rPr>
          <w:rFonts w:hint="eastAsia" w:ascii="宋体" w:hAnsi="宋体"/>
          <w:color w:val="000000"/>
          <w:szCs w:val="21"/>
        </w:rPr>
      </w:pPr>
    </w:p>
    <w:p w14:paraId="7C73D651">
      <w:pPr>
        <w:jc w:val="right"/>
        <w:rPr>
          <w:rFonts w:hint="eastAsia" w:ascii="宋体" w:hAnsi="宋体"/>
          <w:color w:val="000000"/>
          <w:szCs w:val="21"/>
        </w:rPr>
      </w:pPr>
      <w:r>
        <w:rPr>
          <w:rFonts w:hint="eastAsia" w:ascii="宋体" w:hAnsi="宋体"/>
          <w:color w:val="000000"/>
          <w:szCs w:val="21"/>
        </w:rPr>
        <w:t>投标人代表签字或人名章：</w:t>
      </w:r>
      <w:r>
        <w:rPr>
          <w:rFonts w:ascii="宋体" w:hAnsi="宋体"/>
          <w:color w:val="000000"/>
          <w:szCs w:val="21"/>
          <w:u w:val="single"/>
        </w:rPr>
        <w:t>____________</w:t>
      </w:r>
    </w:p>
    <w:p w14:paraId="2C57F9BB">
      <w:pPr>
        <w:jc w:val="right"/>
        <w:rPr>
          <w:rFonts w:hint="eastAsia" w:ascii="宋体" w:hAnsi="宋体"/>
          <w:color w:val="000000"/>
          <w:szCs w:val="21"/>
        </w:rPr>
      </w:pPr>
    </w:p>
    <w:p w14:paraId="06423D12">
      <w:pPr>
        <w:jc w:val="right"/>
        <w:rPr>
          <w:rFonts w:hint="eastAsia" w:ascii="宋体" w:hAnsi="宋体"/>
          <w:color w:val="000000"/>
          <w:szCs w:val="21"/>
        </w:rPr>
      </w:pPr>
      <w:r>
        <w:rPr>
          <w:rFonts w:hint="eastAsia" w:ascii="宋体" w:hAnsi="宋体"/>
          <w:color w:val="000000"/>
          <w:szCs w:val="21"/>
        </w:rPr>
        <w:t>投标人公章：</w:t>
      </w:r>
      <w:r>
        <w:rPr>
          <w:rFonts w:ascii="宋体" w:hAnsi="宋体"/>
          <w:color w:val="000000"/>
          <w:szCs w:val="21"/>
          <w:u w:val="single"/>
        </w:rPr>
        <w:t>____________</w:t>
      </w:r>
    </w:p>
    <w:p w14:paraId="7D5EC53B">
      <w:pPr>
        <w:pStyle w:val="14"/>
        <w:spacing w:line="360" w:lineRule="auto"/>
        <w:ind w:left="420"/>
        <w:rPr>
          <w:rFonts w:hint="eastAsia" w:hAnsi="宋体" w:cs="宋体"/>
          <w:color w:val="000000"/>
          <w:sz w:val="21"/>
        </w:rPr>
      </w:pPr>
    </w:p>
    <w:p w14:paraId="28D1F069">
      <w:pPr>
        <w:pStyle w:val="4"/>
        <w:rPr>
          <w:rFonts w:hint="eastAsia" w:eastAsia="宋体"/>
          <w:color w:val="000000"/>
        </w:rPr>
      </w:pPr>
      <w:r>
        <w:rPr>
          <w:rFonts w:hint="eastAsia" w:eastAsia="宋体"/>
          <w:color w:val="000000"/>
        </w:rPr>
        <w:t>5.2.1</w:t>
      </w:r>
      <w:r>
        <w:rPr>
          <w:rFonts w:eastAsia="宋体"/>
          <w:color w:val="000000"/>
        </w:rPr>
        <w:t>3</w:t>
      </w:r>
      <w:r>
        <w:rPr>
          <w:rFonts w:hint="eastAsia" w:eastAsia="宋体"/>
          <w:color w:val="000000"/>
        </w:rPr>
        <w:t xml:space="preserve"> 资质情况</w:t>
      </w:r>
    </w:p>
    <w:p w14:paraId="2FF3B9B1">
      <w:pPr>
        <w:spacing w:line="360" w:lineRule="auto"/>
        <w:ind w:firstLine="420" w:firstLineChars="200"/>
        <w:rPr>
          <w:rFonts w:hint="eastAsia" w:ascii="宋体" w:hAnsi="宋体" w:cs="宋体"/>
          <w:color w:val="000000"/>
        </w:rPr>
      </w:pPr>
      <w:r>
        <w:rPr>
          <w:rFonts w:hint="eastAsia" w:ascii="宋体" w:hAnsi="宋体" w:cs="宋体"/>
          <w:color w:val="000000"/>
        </w:rPr>
        <w:t>投标人具有相关资质证书。</w:t>
      </w:r>
    </w:p>
    <w:p w14:paraId="46840EA9">
      <w:pPr>
        <w:spacing w:line="360" w:lineRule="auto"/>
        <w:ind w:firstLine="420" w:firstLineChars="200"/>
        <w:rPr>
          <w:rFonts w:hint="eastAsia" w:hAnsi="宋体"/>
          <w:color w:val="000000"/>
        </w:rPr>
      </w:pPr>
      <w:r>
        <w:rPr>
          <w:rFonts w:hint="eastAsia" w:ascii="宋体" w:hAnsi="宋体" w:cs="宋体"/>
          <w:color w:val="000000"/>
        </w:rPr>
        <w:t>注：投标人提供证书的复印件，证书有有效期的须在有效期内，证书后附全国认证认可信息公共服务平台（http://cx.cnca.cn/CertECloud/index/index/page）查询记录截图。</w:t>
      </w:r>
    </w:p>
    <w:p w14:paraId="540DE3BD">
      <w:pPr>
        <w:pStyle w:val="4"/>
        <w:rPr>
          <w:rFonts w:hint="eastAsia" w:eastAsia="宋体"/>
          <w:color w:val="000000"/>
        </w:rPr>
      </w:pPr>
      <w:r>
        <w:rPr>
          <w:rFonts w:hint="eastAsia" w:eastAsia="宋体"/>
          <w:color w:val="000000"/>
        </w:rPr>
        <w:t>5.2.14 投标人认为需要提供的其他材料</w:t>
      </w:r>
    </w:p>
    <w:p w14:paraId="054FB64E">
      <w:pPr>
        <w:pStyle w:val="3"/>
        <w:rPr>
          <w:rFonts w:hint="eastAsia" w:ascii="黑体" w:hAnsi="黑体"/>
          <w:bCs/>
          <w:color w:val="000000"/>
        </w:rPr>
      </w:pPr>
      <w:bookmarkStart w:id="43" w:name="_Toc2233"/>
      <w:r>
        <w:rPr>
          <w:rFonts w:hint="eastAsia" w:ascii="黑体" w:hAnsi="黑体"/>
          <w:bCs/>
          <w:color w:val="000000"/>
        </w:rPr>
        <w:t>5.3 技术及服务部分编制格式</w:t>
      </w:r>
      <w:bookmarkEnd w:id="43"/>
    </w:p>
    <w:p w14:paraId="7E38BE0A">
      <w:pPr>
        <w:pStyle w:val="4"/>
        <w:rPr>
          <w:rFonts w:hint="eastAsia" w:eastAsia="宋体"/>
          <w:color w:val="000000"/>
        </w:rPr>
      </w:pPr>
      <w:r>
        <w:rPr>
          <w:rFonts w:hint="eastAsia" w:eastAsia="宋体"/>
          <w:color w:val="000000"/>
        </w:rPr>
        <w:t>5.3.1 *开标一览表（投标现场需提供两份单独密封于一个信封内并注明“开标一览表”；投标文件正副本中相应位置同时提供）</w:t>
      </w:r>
    </w:p>
    <w:p w14:paraId="151F4709">
      <w:pPr>
        <w:spacing w:line="360" w:lineRule="auto"/>
        <w:ind w:firstLine="420" w:firstLineChars="200"/>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21675615">
      <w:pPr>
        <w:spacing w:line="360" w:lineRule="auto"/>
        <w:ind w:firstLine="420" w:firstLineChars="200"/>
        <w:rPr>
          <w:rFonts w:hint="eastAsia" w:ascii="宋体" w:hAnsi="宋体"/>
          <w:color w:val="000000"/>
          <w:szCs w:val="21"/>
        </w:rPr>
      </w:pPr>
      <w:r>
        <w:rPr>
          <w:rFonts w:hint="eastAsia" w:ascii="宋体" w:hAnsi="宋体"/>
          <w:color w:val="000000"/>
          <w:szCs w:val="21"/>
        </w:rPr>
        <w:t>项目编号：</w:t>
      </w:r>
      <w:r>
        <w:rPr>
          <w:rFonts w:hint="eastAsia" w:ascii="宋体" w:hAnsi="宋体"/>
          <w:color w:val="000000"/>
          <w:szCs w:val="21"/>
          <w:u w:val="single"/>
        </w:rPr>
        <w:t xml:space="preserve">                                 </w:t>
      </w:r>
    </w:p>
    <w:p w14:paraId="323A8987">
      <w:pPr>
        <w:spacing w:line="360" w:lineRule="auto"/>
        <w:ind w:firstLine="420" w:firstLineChars="200"/>
        <w:rPr>
          <w:rFonts w:hint="eastAsia" w:ascii="宋体" w:hAnsi="宋体"/>
          <w:color w:val="000000"/>
          <w:szCs w:val="21"/>
          <w:u w:val="single"/>
        </w:rPr>
      </w:pPr>
      <w:r>
        <w:rPr>
          <w:rFonts w:hint="eastAsia" w:ascii="宋体" w:hAnsi="宋体"/>
          <w:color w:val="000000"/>
          <w:szCs w:val="21"/>
        </w:rPr>
        <w:t>投标人名称：</w:t>
      </w:r>
      <w:r>
        <w:rPr>
          <w:rFonts w:hint="eastAsia" w:ascii="宋体" w:hAnsi="宋体"/>
          <w:color w:val="000000"/>
          <w:szCs w:val="21"/>
          <w:u w:val="single"/>
        </w:rPr>
        <w:t xml:space="preserve">                               </w:t>
      </w:r>
    </w:p>
    <w:p w14:paraId="3D5FF55E">
      <w:pPr>
        <w:spacing w:line="360" w:lineRule="auto"/>
        <w:ind w:left="5100" w:firstLine="425"/>
        <w:jc w:val="center"/>
        <w:rPr>
          <w:rFonts w:hint="eastAsia" w:ascii="宋体" w:hAnsi="宋体"/>
          <w:color w:val="000000"/>
          <w:szCs w:val="21"/>
        </w:rPr>
      </w:pPr>
      <w:r>
        <w:rPr>
          <w:rFonts w:hint="eastAsia" w:ascii="宋体" w:hAnsi="宋体"/>
          <w:color w:val="000000"/>
          <w:szCs w:val="21"/>
        </w:rPr>
        <w:t xml:space="preserve">               价格单位：人民币元</w:t>
      </w:r>
    </w:p>
    <w:tbl>
      <w:tblPr>
        <w:tblStyle w:val="26"/>
        <w:tblW w:w="8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701"/>
        <w:gridCol w:w="1984"/>
        <w:gridCol w:w="1984"/>
        <w:gridCol w:w="1984"/>
      </w:tblGrid>
      <w:tr w14:paraId="7449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84" w:hRule="atLeast"/>
          <w:tblHeader/>
          <w:jc w:val="center"/>
        </w:trPr>
        <w:tc>
          <w:tcPr>
            <w:tcW w:w="628"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0C890E8F">
            <w:pPr>
              <w:spacing w:before="120"/>
              <w:jc w:val="center"/>
              <w:rPr>
                <w:rFonts w:hint="eastAsia" w:ascii="宋体" w:hAnsi="宋体"/>
                <w:color w:val="000000"/>
                <w:szCs w:val="21"/>
              </w:rPr>
            </w:pPr>
            <w:bookmarkStart w:id="44" w:name="OLE_LINK1"/>
            <w:r>
              <w:rPr>
                <w:rFonts w:hint="eastAsia" w:ascii="宋体" w:hAnsi="宋体"/>
                <w:color w:val="000000"/>
                <w:szCs w:val="21"/>
              </w:rPr>
              <w:t>序号</w:t>
            </w:r>
          </w:p>
        </w:tc>
        <w:tc>
          <w:tcPr>
            <w:tcW w:w="1701"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02F67476">
            <w:pPr>
              <w:spacing w:before="120"/>
              <w:jc w:val="center"/>
              <w:rPr>
                <w:rFonts w:hint="eastAsia" w:ascii="宋体" w:hAnsi="宋体"/>
                <w:color w:val="000000"/>
                <w:szCs w:val="21"/>
              </w:rPr>
            </w:pPr>
            <w:r>
              <w:rPr>
                <w:rFonts w:hint="eastAsia" w:ascii="宋体" w:hAnsi="宋体"/>
                <w:color w:val="000000"/>
                <w:szCs w:val="21"/>
              </w:rPr>
              <w:t>名  称</w:t>
            </w:r>
          </w:p>
        </w:tc>
        <w:tc>
          <w:tcPr>
            <w:tcW w:w="1984"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2A107105">
            <w:pPr>
              <w:spacing w:before="120"/>
              <w:jc w:val="center"/>
              <w:rPr>
                <w:rFonts w:hint="eastAsia" w:ascii="宋体" w:hAnsi="宋体"/>
                <w:color w:val="000000"/>
                <w:szCs w:val="21"/>
                <w:lang w:val="en-US" w:eastAsia="zh-CN"/>
              </w:rPr>
            </w:pPr>
            <w:r>
              <w:rPr>
                <w:rFonts w:hint="eastAsia" w:ascii="宋体" w:hAnsi="宋体"/>
                <w:color w:val="000000"/>
                <w:szCs w:val="21"/>
                <w:lang w:val="en-US" w:eastAsia="zh-CN"/>
              </w:rPr>
              <w:t>服务团队人数</w:t>
            </w:r>
          </w:p>
          <w:p w14:paraId="7DEB07FE">
            <w:pPr>
              <w:spacing w:before="120"/>
              <w:jc w:val="center"/>
              <w:rPr>
                <w:rFonts w:hint="default" w:ascii="宋体" w:hAnsi="宋体"/>
                <w:color w:val="000000"/>
                <w:szCs w:val="21"/>
                <w:lang w:val="en-US" w:eastAsia="zh-CN"/>
              </w:rPr>
            </w:pPr>
            <w:r>
              <w:rPr>
                <w:rFonts w:hint="eastAsia" w:ascii="宋体" w:hAnsi="宋体"/>
                <w:color w:val="000000"/>
                <w:szCs w:val="21"/>
                <w:lang w:val="en-US" w:eastAsia="zh-CN"/>
              </w:rPr>
              <w:t>（名）</w:t>
            </w:r>
          </w:p>
        </w:tc>
        <w:tc>
          <w:tcPr>
            <w:tcW w:w="1984"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0499B32E">
            <w:pPr>
              <w:spacing w:before="120"/>
              <w:jc w:val="center"/>
              <w:rPr>
                <w:rFonts w:hint="eastAsia" w:ascii="宋体" w:hAnsi="宋体"/>
                <w:color w:val="000000"/>
                <w:szCs w:val="21"/>
                <w:lang w:val="en-US" w:eastAsia="zh-CN"/>
              </w:rPr>
            </w:pPr>
            <w:r>
              <w:rPr>
                <w:rFonts w:hint="eastAsia" w:ascii="宋体" w:hAnsi="宋体"/>
                <w:color w:val="000000"/>
                <w:szCs w:val="21"/>
                <w:lang w:val="en-US" w:eastAsia="zh-CN"/>
              </w:rPr>
              <w:t>人均管理服务费</w:t>
            </w:r>
          </w:p>
          <w:p w14:paraId="2A9B36AA">
            <w:pPr>
              <w:spacing w:before="120"/>
              <w:jc w:val="center"/>
              <w:rPr>
                <w:rFonts w:hint="default" w:ascii="宋体" w:hAnsi="宋体"/>
                <w:color w:val="000000"/>
                <w:szCs w:val="21"/>
                <w:lang w:val="en-US" w:eastAsia="zh-CN"/>
              </w:rPr>
            </w:pPr>
            <w:r>
              <w:rPr>
                <w:rFonts w:hint="eastAsia" w:ascii="宋体" w:hAnsi="宋体"/>
                <w:color w:val="000000"/>
                <w:szCs w:val="21"/>
                <w:lang w:val="en-US" w:eastAsia="zh-CN"/>
              </w:rPr>
              <w:t>（元/人/月，含税）</w:t>
            </w:r>
          </w:p>
        </w:tc>
        <w:tc>
          <w:tcPr>
            <w:tcW w:w="1984"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763E0900">
            <w:pPr>
              <w:spacing w:before="120"/>
              <w:jc w:val="center"/>
              <w:rPr>
                <w:rFonts w:hint="eastAsia" w:ascii="宋体" w:hAnsi="宋体"/>
                <w:color w:val="000000"/>
                <w:szCs w:val="21"/>
                <w:lang w:val="en-US" w:eastAsia="zh-CN"/>
              </w:rPr>
            </w:pPr>
            <w:r>
              <w:rPr>
                <w:rFonts w:hint="eastAsia" w:ascii="宋体" w:hAnsi="宋体"/>
                <w:color w:val="000000"/>
                <w:szCs w:val="21"/>
                <w:lang w:val="en-US" w:eastAsia="zh-CN"/>
              </w:rPr>
              <w:t>年管理服务费用</w:t>
            </w:r>
          </w:p>
          <w:p w14:paraId="0B395A09">
            <w:pPr>
              <w:spacing w:before="120"/>
              <w:jc w:val="center"/>
              <w:rPr>
                <w:rFonts w:hint="default" w:ascii="宋体" w:hAnsi="宋体"/>
                <w:color w:val="000000"/>
                <w:szCs w:val="21"/>
                <w:lang w:val="en-US" w:eastAsia="zh-CN"/>
              </w:rPr>
            </w:pPr>
            <w:r>
              <w:rPr>
                <w:rFonts w:hint="eastAsia" w:ascii="宋体" w:hAnsi="宋体"/>
                <w:color w:val="000000"/>
                <w:szCs w:val="21"/>
                <w:lang w:val="en-US" w:eastAsia="zh-CN"/>
              </w:rPr>
              <w:t>（元，含税）</w:t>
            </w:r>
          </w:p>
        </w:tc>
      </w:tr>
      <w:tr w14:paraId="30C8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7" w:hRule="atLeast"/>
          <w:jc w:val="center"/>
        </w:trPr>
        <w:tc>
          <w:tcPr>
            <w:tcW w:w="628" w:type="dxa"/>
            <w:tcBorders>
              <w:top w:val="single" w:color="000000" w:sz="6" w:space="0"/>
              <w:left w:val="single" w:color="000000" w:sz="6" w:space="0"/>
              <w:bottom w:val="single" w:color="000000" w:sz="6" w:space="0"/>
              <w:right w:val="single" w:color="000000" w:sz="6" w:space="0"/>
            </w:tcBorders>
            <w:vAlign w:val="center"/>
          </w:tcPr>
          <w:p w14:paraId="54612E18">
            <w:pPr>
              <w:jc w:val="center"/>
              <w:rPr>
                <w:rFonts w:hint="eastAsia" w:ascii="宋体" w:hAnsi="宋体"/>
                <w:color w:val="000000"/>
                <w:szCs w:val="21"/>
              </w:rPr>
            </w:pPr>
            <w:r>
              <w:rPr>
                <w:rFonts w:hint="eastAsia" w:ascii="宋体" w:hAnsi="宋体"/>
                <w:color w:val="000000"/>
                <w:szCs w:val="21"/>
              </w:rPr>
              <w:t>1</w:t>
            </w:r>
          </w:p>
        </w:tc>
        <w:tc>
          <w:tcPr>
            <w:tcW w:w="1701" w:type="dxa"/>
            <w:tcBorders>
              <w:top w:val="single" w:color="000000" w:sz="6" w:space="0"/>
              <w:left w:val="single" w:color="000000" w:sz="6" w:space="0"/>
              <w:bottom w:val="single" w:color="000000" w:sz="6" w:space="0"/>
              <w:right w:val="single" w:color="000000" w:sz="6" w:space="0"/>
            </w:tcBorders>
            <w:vAlign w:val="center"/>
          </w:tcPr>
          <w:p w14:paraId="598F0A94">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海淀区</w:t>
            </w:r>
          </w:p>
        </w:tc>
        <w:tc>
          <w:tcPr>
            <w:tcW w:w="1984" w:type="dxa"/>
            <w:tcBorders>
              <w:top w:val="single" w:color="000000" w:sz="6" w:space="0"/>
              <w:left w:val="single" w:color="000000" w:sz="6" w:space="0"/>
              <w:bottom w:val="single" w:color="000000" w:sz="6" w:space="0"/>
              <w:right w:val="single" w:color="000000" w:sz="6" w:space="0"/>
            </w:tcBorders>
            <w:vAlign w:val="center"/>
          </w:tcPr>
          <w:p w14:paraId="503B6373">
            <w:pPr>
              <w:pStyle w:val="14"/>
              <w:snapToGrid w:val="0"/>
              <w:jc w:val="center"/>
              <w:rPr>
                <w:rFonts w:hint="eastAsia" w:hAnsi="宋体"/>
                <w:color w:val="000000"/>
                <w:sz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299B37C5">
            <w:pPr>
              <w:jc w:val="center"/>
              <w:rPr>
                <w:rFonts w:hint="eastAsia" w:ascii="宋体" w:hAnsi="宋体"/>
                <w:color w:val="00000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1483D122">
            <w:pPr>
              <w:jc w:val="center"/>
              <w:rPr>
                <w:rFonts w:hint="eastAsia" w:ascii="宋体" w:hAnsi="宋体"/>
                <w:color w:val="000000"/>
                <w:szCs w:val="21"/>
              </w:rPr>
            </w:pPr>
          </w:p>
        </w:tc>
      </w:tr>
      <w:tr w14:paraId="7778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7" w:hRule="atLeast"/>
          <w:jc w:val="center"/>
        </w:trPr>
        <w:tc>
          <w:tcPr>
            <w:tcW w:w="628" w:type="dxa"/>
            <w:tcBorders>
              <w:top w:val="single" w:color="000000" w:sz="6" w:space="0"/>
              <w:left w:val="single" w:color="000000" w:sz="6" w:space="0"/>
              <w:bottom w:val="single" w:color="000000" w:sz="6" w:space="0"/>
              <w:right w:val="single" w:color="000000" w:sz="6" w:space="0"/>
            </w:tcBorders>
            <w:vAlign w:val="center"/>
          </w:tcPr>
          <w:p w14:paraId="273CDBF4">
            <w:pPr>
              <w:jc w:val="center"/>
              <w:rPr>
                <w:rFonts w:hint="eastAsia" w:ascii="宋体" w:hAnsi="宋体"/>
                <w:color w:val="000000"/>
                <w:szCs w:val="21"/>
              </w:rPr>
            </w:pPr>
            <w:r>
              <w:rPr>
                <w:rFonts w:hint="eastAsia" w:ascii="宋体" w:hAnsi="宋体"/>
                <w:color w:val="000000"/>
                <w:szCs w:val="21"/>
              </w:rPr>
              <w:t>2</w:t>
            </w:r>
          </w:p>
        </w:tc>
        <w:tc>
          <w:tcPr>
            <w:tcW w:w="1701" w:type="dxa"/>
            <w:tcBorders>
              <w:top w:val="single" w:color="000000" w:sz="6" w:space="0"/>
              <w:left w:val="single" w:color="000000" w:sz="6" w:space="0"/>
              <w:bottom w:val="single" w:color="000000" w:sz="6" w:space="0"/>
              <w:right w:val="single" w:color="000000" w:sz="6" w:space="0"/>
            </w:tcBorders>
            <w:vAlign w:val="center"/>
          </w:tcPr>
          <w:p w14:paraId="33CBB63C">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怀柔区</w:t>
            </w:r>
          </w:p>
        </w:tc>
        <w:tc>
          <w:tcPr>
            <w:tcW w:w="1984" w:type="dxa"/>
            <w:tcBorders>
              <w:top w:val="single" w:color="000000" w:sz="6" w:space="0"/>
              <w:left w:val="single" w:color="000000" w:sz="6" w:space="0"/>
              <w:bottom w:val="single" w:color="000000" w:sz="6" w:space="0"/>
              <w:right w:val="single" w:color="000000" w:sz="6" w:space="0"/>
            </w:tcBorders>
            <w:vAlign w:val="center"/>
          </w:tcPr>
          <w:p w14:paraId="293985D8">
            <w:pPr>
              <w:pStyle w:val="14"/>
              <w:snapToGrid w:val="0"/>
              <w:jc w:val="center"/>
              <w:rPr>
                <w:rFonts w:hint="eastAsia" w:hAnsi="宋体"/>
                <w:color w:val="000000"/>
                <w:sz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5B1D187B">
            <w:pPr>
              <w:jc w:val="center"/>
              <w:rPr>
                <w:rFonts w:hint="eastAsia" w:ascii="宋体" w:hAnsi="宋体"/>
                <w:color w:val="000000"/>
                <w:szCs w:val="21"/>
              </w:rPr>
            </w:pPr>
          </w:p>
        </w:tc>
        <w:tc>
          <w:tcPr>
            <w:tcW w:w="1984" w:type="dxa"/>
            <w:tcBorders>
              <w:top w:val="single" w:color="000000" w:sz="6" w:space="0"/>
              <w:left w:val="single" w:color="000000" w:sz="6" w:space="0"/>
              <w:bottom w:val="single" w:color="000000" w:sz="6" w:space="0"/>
              <w:right w:val="single" w:color="000000" w:sz="6" w:space="0"/>
            </w:tcBorders>
            <w:vAlign w:val="center"/>
          </w:tcPr>
          <w:p w14:paraId="5F77E1B0">
            <w:pPr>
              <w:jc w:val="center"/>
              <w:rPr>
                <w:rFonts w:hint="eastAsia" w:ascii="宋体" w:hAnsi="宋体"/>
                <w:color w:val="000000"/>
                <w:szCs w:val="21"/>
              </w:rPr>
            </w:pPr>
          </w:p>
        </w:tc>
      </w:tr>
      <w:tr w14:paraId="40C2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7" w:hRule="atLeast"/>
          <w:jc w:val="center"/>
        </w:trPr>
        <w:tc>
          <w:tcPr>
            <w:tcW w:w="628" w:type="dxa"/>
            <w:tcBorders>
              <w:top w:val="single" w:color="000000" w:sz="6" w:space="0"/>
              <w:left w:val="single" w:color="000000" w:sz="6" w:space="0"/>
              <w:bottom w:val="single" w:color="000000" w:sz="6" w:space="0"/>
              <w:right w:val="single" w:color="000000" w:sz="6" w:space="0"/>
            </w:tcBorders>
            <w:vAlign w:val="center"/>
          </w:tcPr>
          <w:p w14:paraId="4A5E202C">
            <w:pPr>
              <w:jc w:val="center"/>
              <w:rPr>
                <w:rFonts w:hint="eastAsia" w:ascii="宋体" w:hAnsi="宋体"/>
                <w:color w:val="000000"/>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1E1CEF7A">
            <w:pPr>
              <w:jc w:val="center"/>
              <w:rPr>
                <w:rFonts w:hint="eastAsia" w:ascii="宋体" w:hAnsi="宋体" w:eastAsia="宋体"/>
                <w:color w:val="000000"/>
                <w:szCs w:val="21"/>
                <w:lang w:eastAsia="zh-CN"/>
              </w:rPr>
            </w:pPr>
            <w:r>
              <w:rPr>
                <w:rFonts w:hint="eastAsia" w:ascii="宋体" w:hAnsi="宋体"/>
                <w:color w:val="000000"/>
                <w:szCs w:val="21"/>
              </w:rPr>
              <w:t>投标</w:t>
            </w:r>
            <w:r>
              <w:rPr>
                <w:rFonts w:hint="eastAsia" w:ascii="宋体" w:hAnsi="宋体"/>
                <w:color w:val="000000"/>
                <w:szCs w:val="21"/>
                <w:lang w:val="en-US" w:eastAsia="zh-CN"/>
              </w:rPr>
              <w:t>总费用</w:t>
            </w:r>
          </w:p>
        </w:tc>
        <w:tc>
          <w:tcPr>
            <w:tcW w:w="1984" w:type="dxa"/>
            <w:tcBorders>
              <w:top w:val="single" w:color="000000" w:sz="6" w:space="0"/>
              <w:left w:val="single" w:color="000000" w:sz="6" w:space="0"/>
              <w:bottom w:val="single" w:color="000000" w:sz="6" w:space="0"/>
              <w:right w:val="single" w:color="000000" w:sz="6" w:space="0"/>
            </w:tcBorders>
            <w:vAlign w:val="center"/>
          </w:tcPr>
          <w:p w14:paraId="36C444EF">
            <w:pPr>
              <w:pStyle w:val="16"/>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w:t>
            </w:r>
          </w:p>
        </w:tc>
        <w:tc>
          <w:tcPr>
            <w:tcW w:w="1984" w:type="dxa"/>
            <w:tcBorders>
              <w:top w:val="single" w:color="000000" w:sz="6" w:space="0"/>
              <w:left w:val="single" w:color="000000" w:sz="6" w:space="0"/>
              <w:bottom w:val="single" w:color="000000" w:sz="6" w:space="0"/>
              <w:right w:val="single" w:color="000000" w:sz="6" w:space="0"/>
            </w:tcBorders>
            <w:vAlign w:val="center"/>
          </w:tcPr>
          <w:p w14:paraId="22399789">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w:t>
            </w:r>
          </w:p>
        </w:tc>
        <w:tc>
          <w:tcPr>
            <w:tcW w:w="1984" w:type="dxa"/>
            <w:tcBorders>
              <w:top w:val="single" w:color="000000" w:sz="6" w:space="0"/>
              <w:left w:val="single" w:color="000000" w:sz="6" w:space="0"/>
              <w:bottom w:val="single" w:color="000000" w:sz="6" w:space="0"/>
              <w:right w:val="single" w:color="000000" w:sz="6" w:space="0"/>
            </w:tcBorders>
            <w:vAlign w:val="center"/>
          </w:tcPr>
          <w:p w14:paraId="38080F5A">
            <w:pPr>
              <w:jc w:val="center"/>
              <w:rPr>
                <w:rFonts w:hint="eastAsia" w:ascii="宋体" w:hAnsi="宋体"/>
                <w:color w:val="000000"/>
                <w:szCs w:val="21"/>
              </w:rPr>
            </w:pPr>
          </w:p>
        </w:tc>
      </w:tr>
      <w:bookmarkEnd w:id="44"/>
    </w:tbl>
    <w:p w14:paraId="3017F48F">
      <w:pPr>
        <w:spacing w:line="360" w:lineRule="auto"/>
        <w:rPr>
          <w:rFonts w:hint="eastAsia" w:ascii="宋体" w:hAnsi="宋体"/>
          <w:color w:val="000000"/>
          <w:szCs w:val="21"/>
        </w:rPr>
      </w:pPr>
      <w:r>
        <w:rPr>
          <w:rFonts w:hint="eastAsia" w:ascii="宋体" w:hAnsi="宋体"/>
          <w:color w:val="000000"/>
          <w:szCs w:val="21"/>
        </w:rPr>
        <w:t>注：</w:t>
      </w:r>
    </w:p>
    <w:p w14:paraId="670A3714">
      <w:pPr>
        <w:spacing w:line="360" w:lineRule="auto"/>
        <w:rPr>
          <w:rFonts w:hint="eastAsia" w:ascii="宋体" w:hAnsi="宋体"/>
          <w:color w:val="000000"/>
          <w:szCs w:val="21"/>
        </w:rPr>
      </w:pPr>
      <w:r>
        <w:rPr>
          <w:rFonts w:hint="eastAsia" w:ascii="宋体" w:hAnsi="宋体"/>
          <w:color w:val="000000"/>
          <w:szCs w:val="21"/>
        </w:rPr>
        <w:t>1.以上报价是投标人为完成本项目并达到招标文件第四部分技术要求和服务要求的所有费用及按照国家现行税法和有关部门现行规定需缴纳的一切税费。</w:t>
      </w:r>
    </w:p>
    <w:p w14:paraId="04B8027C">
      <w:pPr>
        <w:spacing w:line="360" w:lineRule="auto"/>
        <w:rPr>
          <w:rFonts w:hint="eastAsia" w:ascii="宋体" w:hAnsi="宋体"/>
          <w:color w:val="000000"/>
          <w:szCs w:val="21"/>
        </w:rPr>
      </w:pPr>
      <w:r>
        <w:rPr>
          <w:rFonts w:hint="eastAsia" w:ascii="宋体" w:hAnsi="宋体"/>
          <w:color w:val="000000"/>
          <w:szCs w:val="21"/>
        </w:rPr>
        <w:t>2.该投标一览表须装订在投标文件中，同时另行与投标保证金单独封入信封，供开标时使用。</w:t>
      </w:r>
    </w:p>
    <w:p w14:paraId="4939CA8F">
      <w:pPr>
        <w:spacing w:line="360" w:lineRule="auto"/>
        <w:rPr>
          <w:rFonts w:hint="eastAsia" w:ascii="宋体" w:hAnsi="宋体"/>
          <w:color w:val="000000"/>
          <w:szCs w:val="21"/>
        </w:rPr>
      </w:pPr>
      <w:r>
        <w:rPr>
          <w:rFonts w:hint="eastAsia" w:ascii="宋体" w:hAnsi="宋体"/>
          <w:color w:val="000000"/>
          <w:szCs w:val="21"/>
        </w:rPr>
        <w:t>3.以上</w:t>
      </w:r>
      <w:r>
        <w:rPr>
          <w:rFonts w:hint="eastAsia" w:ascii="宋体" w:hAnsi="宋体"/>
          <w:color w:val="000000"/>
          <w:szCs w:val="21"/>
          <w:lang w:val="en-US" w:eastAsia="zh-CN"/>
        </w:rPr>
        <w:t>费用</w:t>
      </w:r>
      <w:r>
        <w:rPr>
          <w:rFonts w:hint="eastAsia" w:ascii="宋体" w:hAnsi="宋体"/>
          <w:color w:val="000000"/>
          <w:szCs w:val="21"/>
        </w:rPr>
        <w:t>（含税）参与价格分评审。</w:t>
      </w:r>
    </w:p>
    <w:p w14:paraId="5B7B549B">
      <w:pPr>
        <w:spacing w:line="360" w:lineRule="auto"/>
        <w:rPr>
          <w:rFonts w:hint="eastAsia" w:ascii="宋体" w:hAnsi="宋体"/>
          <w:color w:val="000000"/>
          <w:szCs w:val="21"/>
        </w:rPr>
      </w:pPr>
      <w:r>
        <w:rPr>
          <w:rFonts w:hint="eastAsia" w:ascii="宋体" w:hAnsi="宋体"/>
          <w:color w:val="000000"/>
          <w:szCs w:val="21"/>
        </w:rPr>
        <w:t>后续因政府财税部门对增值税政策调整的，增值税税额按调整后的税率执行，不含税价格不变，双方按不含税价格和调整后的增值税税额重新确定含增值税价格。</w:t>
      </w:r>
    </w:p>
    <w:p w14:paraId="689132CB">
      <w:pPr>
        <w:spacing w:before="120" w:beforeLines="50" w:line="360" w:lineRule="auto"/>
        <w:rPr>
          <w:rFonts w:hint="eastAsia" w:ascii="宋体" w:hAnsi="宋体"/>
          <w:color w:val="000000"/>
          <w:szCs w:val="21"/>
        </w:rPr>
      </w:pPr>
    </w:p>
    <w:p w14:paraId="7A52C6F0">
      <w:pPr>
        <w:spacing w:line="360" w:lineRule="auto"/>
        <w:ind w:firstLine="420" w:firstLineChars="200"/>
        <w:rPr>
          <w:rFonts w:hint="eastAsia" w:ascii="宋体" w:hAnsi="宋体"/>
          <w:szCs w:val="21"/>
        </w:rPr>
      </w:pPr>
      <w:r>
        <w:rPr>
          <w:rFonts w:hint="eastAsia" w:ascii="宋体" w:hAnsi="宋体"/>
          <w:szCs w:val="21"/>
        </w:rPr>
        <w:t>投标总</w:t>
      </w:r>
      <w:r>
        <w:rPr>
          <w:rFonts w:hint="eastAsia" w:ascii="宋体" w:hAnsi="宋体"/>
          <w:szCs w:val="21"/>
          <w:lang w:val="en-US" w:eastAsia="zh-CN"/>
        </w:rPr>
        <w:t>费用</w:t>
      </w:r>
      <w:r>
        <w:rPr>
          <w:rFonts w:hint="eastAsia" w:ascii="宋体" w:hAnsi="宋体"/>
          <w:szCs w:val="21"/>
        </w:rPr>
        <w:t>小写金额：</w:t>
      </w:r>
      <w:r>
        <w:rPr>
          <w:rFonts w:hint="eastAsia" w:ascii="宋体" w:hAnsi="宋体"/>
          <w:szCs w:val="21"/>
          <w:u w:val="single"/>
        </w:rPr>
        <w:t xml:space="preserve">                                   </w:t>
      </w:r>
    </w:p>
    <w:p w14:paraId="19E423B0">
      <w:pPr>
        <w:spacing w:line="360" w:lineRule="auto"/>
        <w:ind w:firstLine="420" w:firstLineChars="200"/>
        <w:rPr>
          <w:rFonts w:hint="eastAsia" w:ascii="宋体" w:hAnsi="宋体"/>
          <w:szCs w:val="21"/>
          <w:u w:val="single"/>
        </w:rPr>
      </w:pPr>
      <w:r>
        <w:rPr>
          <w:rFonts w:hint="eastAsia" w:ascii="宋体" w:hAnsi="宋体"/>
          <w:szCs w:val="21"/>
        </w:rPr>
        <w:t>投标总</w:t>
      </w:r>
      <w:r>
        <w:rPr>
          <w:rFonts w:hint="eastAsia" w:ascii="宋体" w:hAnsi="宋体"/>
          <w:szCs w:val="21"/>
          <w:lang w:val="en-US" w:eastAsia="zh-CN"/>
        </w:rPr>
        <w:t>费用</w:t>
      </w:r>
      <w:r>
        <w:rPr>
          <w:rFonts w:hint="eastAsia" w:ascii="宋体" w:hAnsi="宋体"/>
          <w:szCs w:val="21"/>
        </w:rPr>
        <w:t>大写金额：</w:t>
      </w:r>
      <w:r>
        <w:rPr>
          <w:rFonts w:hint="eastAsia" w:ascii="宋体" w:hAnsi="宋体"/>
          <w:szCs w:val="21"/>
          <w:u w:val="single"/>
        </w:rPr>
        <w:t xml:space="preserve">                                   </w:t>
      </w:r>
    </w:p>
    <w:p w14:paraId="31D185F1">
      <w:pPr>
        <w:spacing w:line="360" w:lineRule="auto"/>
        <w:ind w:firstLine="420" w:firstLineChars="200"/>
        <w:rPr>
          <w:rFonts w:hint="eastAsia" w:ascii="宋体" w:hAnsi="宋体"/>
          <w:color w:val="000000"/>
          <w:szCs w:val="21"/>
          <w:u w:val="single"/>
        </w:rPr>
      </w:pPr>
      <w:r>
        <w:rPr>
          <w:rFonts w:hint="eastAsia" w:ascii="宋体" w:hAnsi="宋体"/>
          <w:color w:val="000000"/>
          <w:szCs w:val="21"/>
        </w:rPr>
        <w:t>特别说明事项：</w:t>
      </w:r>
      <w:r>
        <w:rPr>
          <w:rFonts w:hint="eastAsia" w:ascii="宋体" w:hAnsi="宋体"/>
          <w:color w:val="000000"/>
          <w:szCs w:val="21"/>
          <w:u w:val="single"/>
        </w:rPr>
        <w:t xml:space="preserve">                                       </w:t>
      </w:r>
    </w:p>
    <w:p w14:paraId="6AB380A9">
      <w:pPr>
        <w:spacing w:line="360" w:lineRule="auto"/>
        <w:ind w:firstLine="420" w:firstLineChars="200"/>
        <w:rPr>
          <w:rFonts w:hint="eastAsia" w:ascii="宋体" w:hAnsi="宋体"/>
          <w:color w:val="000000"/>
          <w:szCs w:val="21"/>
          <w:u w:val="single"/>
        </w:rPr>
      </w:pPr>
      <w:r>
        <w:rPr>
          <w:rFonts w:hint="eastAsia" w:ascii="宋体" w:hAnsi="宋体"/>
          <w:color w:val="000000"/>
          <w:szCs w:val="21"/>
        </w:rPr>
        <w:t>投标人公章：</w:t>
      </w:r>
      <w:r>
        <w:rPr>
          <w:rFonts w:hint="eastAsia" w:ascii="宋体" w:hAnsi="宋体"/>
          <w:color w:val="000000"/>
          <w:szCs w:val="21"/>
          <w:u w:val="single"/>
        </w:rPr>
        <w:t xml:space="preserve">                                         </w:t>
      </w:r>
    </w:p>
    <w:p w14:paraId="7982983B">
      <w:pPr>
        <w:spacing w:line="360" w:lineRule="auto"/>
        <w:ind w:firstLine="420" w:firstLineChars="200"/>
        <w:rPr>
          <w:rFonts w:hint="eastAsia" w:ascii="宋体" w:hAnsi="宋体"/>
          <w:color w:val="000000"/>
          <w:szCs w:val="21"/>
        </w:rPr>
      </w:pPr>
      <w:r>
        <w:rPr>
          <w:rFonts w:hint="eastAsia" w:ascii="宋体" w:hAnsi="宋体"/>
          <w:color w:val="000000"/>
          <w:szCs w:val="21"/>
        </w:rPr>
        <w:t>投标人代表签字或人名章：</w:t>
      </w:r>
      <w:r>
        <w:rPr>
          <w:rFonts w:hint="eastAsia" w:ascii="宋体" w:hAnsi="宋体"/>
          <w:color w:val="000000"/>
          <w:szCs w:val="21"/>
          <w:u w:val="single"/>
        </w:rPr>
        <w:t xml:space="preserve">                             </w:t>
      </w:r>
    </w:p>
    <w:p w14:paraId="669B0381">
      <w:pPr>
        <w:spacing w:line="360" w:lineRule="auto"/>
        <w:ind w:firstLine="420" w:firstLineChars="200"/>
        <w:rPr>
          <w:rFonts w:hint="eastAsia" w:ascii="宋体" w:hAnsi="宋体"/>
          <w:color w:val="000000"/>
          <w:szCs w:val="21"/>
          <w:u w:val="single"/>
        </w:rPr>
      </w:pPr>
      <w:r>
        <w:rPr>
          <w:rFonts w:hint="eastAsia" w:ascii="宋体" w:hAnsi="宋体"/>
          <w:color w:val="000000"/>
          <w:szCs w:val="21"/>
        </w:rPr>
        <w:t>日      期：</w:t>
      </w:r>
      <w:r>
        <w:rPr>
          <w:rFonts w:hint="eastAsia" w:ascii="宋体" w:hAnsi="宋体"/>
          <w:color w:val="000000"/>
          <w:szCs w:val="21"/>
          <w:u w:val="single"/>
        </w:rPr>
        <w:t xml:space="preserve">                                         </w:t>
      </w:r>
    </w:p>
    <w:p w14:paraId="7265F8A4">
      <w:pPr>
        <w:jc w:val="center"/>
        <w:rPr>
          <w:color w:val="000000"/>
        </w:rPr>
      </w:pPr>
    </w:p>
    <w:p w14:paraId="667482D4">
      <w:pPr>
        <w:pStyle w:val="4"/>
        <w:rPr>
          <w:rFonts w:hint="eastAsia" w:eastAsia="宋体"/>
          <w:color w:val="000000"/>
        </w:rPr>
      </w:pPr>
      <w:r>
        <w:rPr>
          <w:rFonts w:hint="eastAsia" w:eastAsia="宋体"/>
          <w:color w:val="000000"/>
        </w:rPr>
        <w:t>5.3.2 *服务承诺逐项应答表（按照招标文件第四部分技术要求和服务要求中的内容逐项应答，其中关键服务指标（*项）存在缺失、不满足或负偏离的，投标将被拒绝）</w:t>
      </w:r>
    </w:p>
    <w:p w14:paraId="1F639D97">
      <w:pPr>
        <w:rPr>
          <w:color w:val="000000"/>
        </w:rPr>
      </w:pP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97"/>
        <w:gridCol w:w="3041"/>
        <w:gridCol w:w="1147"/>
        <w:gridCol w:w="905"/>
        <w:gridCol w:w="1193"/>
      </w:tblGrid>
      <w:tr w14:paraId="5E56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49" w:type="pct"/>
            <w:tcBorders>
              <w:top w:val="single" w:color="auto" w:sz="4" w:space="0"/>
              <w:left w:val="single" w:color="auto" w:sz="4" w:space="0"/>
              <w:bottom w:val="single" w:color="auto" w:sz="4" w:space="0"/>
              <w:right w:val="single" w:color="auto" w:sz="4" w:space="0"/>
            </w:tcBorders>
            <w:shd w:val="clear" w:color="auto" w:fill="C0C0C0"/>
            <w:vAlign w:val="center"/>
          </w:tcPr>
          <w:p w14:paraId="3500C8E8">
            <w:pPr>
              <w:widowControl/>
              <w:jc w:val="center"/>
              <w:rPr>
                <w:rFonts w:hint="eastAsia" w:ascii="宋体" w:hAnsi="宋体" w:cs="宋体"/>
                <w:color w:val="000000"/>
                <w:szCs w:val="21"/>
              </w:rPr>
            </w:pPr>
            <w:r>
              <w:rPr>
                <w:rFonts w:hint="eastAsia" w:ascii="宋体" w:hAnsi="宋体" w:cs="宋体"/>
                <w:color w:val="000000"/>
                <w:szCs w:val="21"/>
              </w:rPr>
              <w:t>服务项目</w:t>
            </w:r>
          </w:p>
        </w:tc>
        <w:tc>
          <w:tcPr>
            <w:tcW w:w="761" w:type="pct"/>
            <w:tcBorders>
              <w:top w:val="single" w:color="auto" w:sz="4" w:space="0"/>
              <w:left w:val="single" w:color="auto" w:sz="4" w:space="0"/>
              <w:bottom w:val="single" w:color="auto" w:sz="4" w:space="0"/>
              <w:right w:val="single" w:color="auto" w:sz="4" w:space="0"/>
            </w:tcBorders>
            <w:shd w:val="clear" w:color="auto" w:fill="C0C0C0"/>
            <w:vAlign w:val="center"/>
          </w:tcPr>
          <w:p w14:paraId="7D359628">
            <w:pPr>
              <w:widowControl/>
              <w:jc w:val="center"/>
              <w:rPr>
                <w:rFonts w:hint="eastAsia" w:ascii="宋体" w:hAnsi="宋体" w:cs="宋体"/>
                <w:color w:val="000000"/>
                <w:szCs w:val="21"/>
              </w:rPr>
            </w:pPr>
            <w:r>
              <w:rPr>
                <w:rFonts w:hint="eastAsia" w:ascii="宋体" w:hAnsi="宋体" w:cs="宋体"/>
                <w:color w:val="000000"/>
                <w:szCs w:val="21"/>
              </w:rPr>
              <w:t>服务细项</w:t>
            </w:r>
          </w:p>
        </w:tc>
        <w:tc>
          <w:tcPr>
            <w:tcW w:w="1784" w:type="pct"/>
            <w:tcBorders>
              <w:top w:val="single" w:color="auto" w:sz="4" w:space="0"/>
              <w:left w:val="single" w:color="auto" w:sz="4" w:space="0"/>
              <w:bottom w:val="single" w:color="auto" w:sz="4" w:space="0"/>
              <w:right w:val="single" w:color="auto" w:sz="4" w:space="0"/>
            </w:tcBorders>
            <w:shd w:val="clear" w:color="auto" w:fill="C0C0C0"/>
            <w:vAlign w:val="center"/>
          </w:tcPr>
          <w:p w14:paraId="13384DA6">
            <w:pPr>
              <w:widowControl/>
              <w:jc w:val="center"/>
              <w:rPr>
                <w:rFonts w:hint="eastAsia" w:ascii="宋体" w:hAnsi="宋体" w:cs="宋体"/>
                <w:color w:val="000000"/>
                <w:szCs w:val="21"/>
              </w:rPr>
            </w:pPr>
            <w:r>
              <w:rPr>
                <w:rFonts w:hint="eastAsia" w:ascii="宋体" w:hAnsi="宋体" w:cs="宋体"/>
                <w:color w:val="000000"/>
                <w:szCs w:val="21"/>
              </w:rPr>
              <w:t>基本内容</w:t>
            </w:r>
          </w:p>
        </w:tc>
        <w:tc>
          <w:tcPr>
            <w:tcW w:w="673" w:type="pct"/>
            <w:tcBorders>
              <w:top w:val="single" w:color="auto" w:sz="4" w:space="0"/>
              <w:left w:val="single" w:color="auto" w:sz="4" w:space="0"/>
              <w:bottom w:val="single" w:color="auto" w:sz="4" w:space="0"/>
              <w:right w:val="single" w:color="auto" w:sz="4" w:space="0"/>
            </w:tcBorders>
            <w:shd w:val="clear" w:color="auto" w:fill="C0C0C0"/>
            <w:vAlign w:val="center"/>
          </w:tcPr>
          <w:p w14:paraId="66DD03DD">
            <w:pPr>
              <w:widowControl/>
              <w:jc w:val="center"/>
              <w:rPr>
                <w:rFonts w:hint="eastAsia" w:ascii="宋体" w:hAnsi="宋体" w:cs="宋体"/>
                <w:color w:val="000000"/>
                <w:szCs w:val="21"/>
              </w:rPr>
            </w:pPr>
            <w:r>
              <w:rPr>
                <w:rFonts w:hint="eastAsia" w:ascii="宋体" w:hAnsi="宋体" w:cs="宋体"/>
                <w:color w:val="000000"/>
                <w:szCs w:val="21"/>
              </w:rPr>
              <w:t>投标承诺</w:t>
            </w:r>
          </w:p>
        </w:tc>
        <w:tc>
          <w:tcPr>
            <w:tcW w:w="531" w:type="pct"/>
            <w:tcBorders>
              <w:top w:val="single" w:color="auto" w:sz="4" w:space="0"/>
              <w:left w:val="single" w:color="auto" w:sz="4" w:space="0"/>
              <w:bottom w:val="single" w:color="auto" w:sz="4" w:space="0"/>
              <w:right w:val="single" w:color="auto" w:sz="4" w:space="0"/>
            </w:tcBorders>
            <w:shd w:val="clear" w:color="auto" w:fill="C0C0C0"/>
            <w:vAlign w:val="center"/>
          </w:tcPr>
          <w:p w14:paraId="32173996">
            <w:pPr>
              <w:widowControl/>
              <w:jc w:val="center"/>
              <w:rPr>
                <w:rFonts w:hint="eastAsia" w:ascii="宋体" w:hAnsi="宋体" w:cs="宋体"/>
                <w:color w:val="000000"/>
                <w:szCs w:val="21"/>
              </w:rPr>
            </w:pPr>
            <w:r>
              <w:rPr>
                <w:rFonts w:hint="eastAsia" w:ascii="宋体" w:hAnsi="宋体" w:cs="宋体"/>
                <w:color w:val="000000"/>
                <w:szCs w:val="21"/>
              </w:rPr>
              <w:t>偏  差</w:t>
            </w:r>
          </w:p>
        </w:tc>
        <w:tc>
          <w:tcPr>
            <w:tcW w:w="700" w:type="pct"/>
            <w:tcBorders>
              <w:top w:val="single" w:color="auto" w:sz="4" w:space="0"/>
              <w:left w:val="single" w:color="auto" w:sz="4" w:space="0"/>
              <w:bottom w:val="single" w:color="auto" w:sz="4" w:space="0"/>
              <w:right w:val="single" w:color="auto" w:sz="4" w:space="0"/>
            </w:tcBorders>
            <w:shd w:val="clear" w:color="auto" w:fill="C0C0C0"/>
            <w:vAlign w:val="center"/>
          </w:tcPr>
          <w:p w14:paraId="23634B9B">
            <w:pPr>
              <w:widowControl/>
              <w:jc w:val="center"/>
              <w:rPr>
                <w:rFonts w:hint="eastAsia" w:ascii="宋体" w:hAnsi="宋体" w:cs="宋体"/>
                <w:color w:val="000000"/>
                <w:szCs w:val="21"/>
              </w:rPr>
            </w:pPr>
            <w:r>
              <w:rPr>
                <w:rFonts w:hint="eastAsia" w:ascii="宋体" w:hAnsi="宋体" w:cs="宋体"/>
                <w:color w:val="000000"/>
                <w:szCs w:val="21"/>
              </w:rPr>
              <w:t>备  注</w:t>
            </w:r>
          </w:p>
        </w:tc>
      </w:tr>
      <w:tr w14:paraId="4B22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417342AA">
            <w:pPr>
              <w:widowControl/>
              <w:jc w:val="center"/>
              <w:rPr>
                <w:rFonts w:hint="eastAsia" w:ascii="宋体" w:hAnsi="宋体" w:cs="宋体"/>
                <w:color w:val="000000"/>
                <w:szCs w:val="21"/>
              </w:rPr>
            </w:pPr>
            <w:r>
              <w:rPr>
                <w:rFonts w:hint="eastAsia" w:ascii="宋体" w:hAnsi="宋体" w:cs="宋体"/>
                <w:color w:val="000000"/>
                <w:szCs w:val="21"/>
              </w:rPr>
              <w:t>……</w:t>
            </w:r>
          </w:p>
        </w:tc>
        <w:tc>
          <w:tcPr>
            <w:tcW w:w="761" w:type="pct"/>
            <w:tcBorders>
              <w:top w:val="single" w:color="auto" w:sz="4" w:space="0"/>
              <w:left w:val="single" w:color="auto" w:sz="4" w:space="0"/>
              <w:bottom w:val="single" w:color="auto" w:sz="4" w:space="0"/>
              <w:right w:val="single" w:color="auto" w:sz="4" w:space="0"/>
            </w:tcBorders>
            <w:vAlign w:val="center"/>
          </w:tcPr>
          <w:p w14:paraId="062F50E1">
            <w:pPr>
              <w:jc w:val="center"/>
              <w:rPr>
                <w:rFonts w:hint="eastAsia" w:ascii="宋体" w:hAnsi="宋体" w:cs="宋体"/>
                <w:color w:val="000000"/>
                <w:szCs w:val="21"/>
              </w:rPr>
            </w:pPr>
            <w:r>
              <w:rPr>
                <w:rFonts w:hint="eastAsia" w:ascii="宋体" w:hAnsi="宋体" w:cs="宋体"/>
                <w:color w:val="000000"/>
                <w:szCs w:val="21"/>
              </w:rPr>
              <w:t>……</w:t>
            </w:r>
          </w:p>
        </w:tc>
        <w:tc>
          <w:tcPr>
            <w:tcW w:w="1784" w:type="pct"/>
            <w:tcBorders>
              <w:top w:val="single" w:color="auto" w:sz="4" w:space="0"/>
              <w:left w:val="single" w:color="auto" w:sz="4" w:space="0"/>
              <w:bottom w:val="single" w:color="auto" w:sz="4" w:space="0"/>
              <w:right w:val="single" w:color="auto" w:sz="4" w:space="0"/>
            </w:tcBorders>
            <w:vAlign w:val="center"/>
          </w:tcPr>
          <w:p w14:paraId="0C050682">
            <w:pPr>
              <w:rPr>
                <w:rFonts w:hint="eastAsia" w:ascii="宋体" w:hAnsi="宋体" w:cs="宋体"/>
                <w:color w:val="000000"/>
                <w:szCs w:val="21"/>
              </w:rPr>
            </w:pPr>
            <w:r>
              <w:rPr>
                <w:rFonts w:hint="eastAsia" w:ascii="宋体" w:hAnsi="宋体" w:cs="宋体"/>
                <w:color w:val="000000"/>
                <w:szCs w:val="21"/>
              </w:rPr>
              <w:t>……</w:t>
            </w:r>
          </w:p>
        </w:tc>
        <w:tc>
          <w:tcPr>
            <w:tcW w:w="673" w:type="pct"/>
            <w:tcBorders>
              <w:top w:val="single" w:color="auto" w:sz="4" w:space="0"/>
              <w:left w:val="single" w:color="auto" w:sz="4" w:space="0"/>
              <w:bottom w:val="single" w:color="auto" w:sz="4" w:space="0"/>
              <w:right w:val="single" w:color="auto" w:sz="4" w:space="0"/>
            </w:tcBorders>
            <w:vAlign w:val="center"/>
          </w:tcPr>
          <w:p w14:paraId="2D6B60CE">
            <w:pPr>
              <w:widowControl/>
              <w:rPr>
                <w:rFonts w:hint="eastAsia" w:ascii="宋体" w:hAnsi="宋体" w:cs="宋体"/>
                <w:color w:val="000000"/>
                <w:szCs w:val="21"/>
              </w:rPr>
            </w:pPr>
          </w:p>
        </w:tc>
        <w:tc>
          <w:tcPr>
            <w:tcW w:w="531" w:type="pct"/>
            <w:tcBorders>
              <w:top w:val="single" w:color="auto" w:sz="4" w:space="0"/>
              <w:left w:val="single" w:color="auto" w:sz="4" w:space="0"/>
              <w:bottom w:val="single" w:color="auto" w:sz="4" w:space="0"/>
              <w:right w:val="single" w:color="auto" w:sz="4" w:space="0"/>
            </w:tcBorders>
            <w:vAlign w:val="center"/>
          </w:tcPr>
          <w:p w14:paraId="332E3B13">
            <w:pPr>
              <w:widowControl/>
              <w:jc w:val="center"/>
              <w:rPr>
                <w:rFonts w:hint="eastAsia" w:ascii="宋体" w:hAnsi="宋体" w:cs="宋体"/>
                <w:color w:val="000000"/>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6636CF5">
            <w:pPr>
              <w:widowControl/>
              <w:jc w:val="center"/>
              <w:rPr>
                <w:rFonts w:hint="eastAsia" w:ascii="宋体" w:hAnsi="宋体" w:cs="宋体"/>
                <w:color w:val="000000"/>
                <w:szCs w:val="21"/>
              </w:rPr>
            </w:pPr>
          </w:p>
        </w:tc>
      </w:tr>
      <w:tr w14:paraId="476C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0CD61C8E">
            <w:pPr>
              <w:widowControl/>
              <w:jc w:val="center"/>
              <w:rPr>
                <w:rFonts w:hint="eastAsia" w:ascii="宋体" w:hAnsi="宋体" w:cs="宋体"/>
                <w:color w:val="000000"/>
                <w:szCs w:val="21"/>
              </w:rPr>
            </w:pPr>
          </w:p>
        </w:tc>
        <w:tc>
          <w:tcPr>
            <w:tcW w:w="761" w:type="pct"/>
            <w:tcBorders>
              <w:top w:val="single" w:color="auto" w:sz="4" w:space="0"/>
              <w:left w:val="single" w:color="auto" w:sz="4" w:space="0"/>
              <w:bottom w:val="single" w:color="auto" w:sz="4" w:space="0"/>
              <w:right w:val="single" w:color="auto" w:sz="4" w:space="0"/>
            </w:tcBorders>
            <w:vAlign w:val="center"/>
          </w:tcPr>
          <w:p w14:paraId="04470910">
            <w:pPr>
              <w:widowControl/>
              <w:jc w:val="center"/>
              <w:rPr>
                <w:rFonts w:hint="eastAsia" w:ascii="宋体" w:hAnsi="宋体" w:cs="宋体"/>
                <w:color w:val="000000"/>
                <w:szCs w:val="21"/>
              </w:rPr>
            </w:pPr>
          </w:p>
        </w:tc>
        <w:tc>
          <w:tcPr>
            <w:tcW w:w="1784" w:type="pct"/>
            <w:tcBorders>
              <w:top w:val="single" w:color="auto" w:sz="4" w:space="0"/>
              <w:left w:val="single" w:color="auto" w:sz="4" w:space="0"/>
              <w:bottom w:val="single" w:color="auto" w:sz="4" w:space="0"/>
              <w:right w:val="single" w:color="auto" w:sz="4" w:space="0"/>
            </w:tcBorders>
            <w:vAlign w:val="center"/>
          </w:tcPr>
          <w:p w14:paraId="27CB04BE">
            <w:pPr>
              <w:rPr>
                <w:rFonts w:hint="default" w:ascii="宋体" w:hAnsi="宋体" w:eastAsia="宋体" w:cs="宋体"/>
                <w:color w:val="000000"/>
                <w:szCs w:val="21"/>
                <w:lang w:val="en-US" w:eastAsia="zh-CN"/>
              </w:rPr>
            </w:pPr>
            <w:r>
              <w:rPr>
                <w:rFonts w:hint="eastAsia" w:ascii="宋体" w:hAnsi="宋体" w:cs="宋体"/>
                <w:b/>
                <w:bCs/>
                <w:color w:val="000000"/>
                <w:szCs w:val="21"/>
              </w:rPr>
              <w:t>*本项目食堂服务团队人员数量不</w:t>
            </w:r>
            <w:r>
              <w:rPr>
                <w:rFonts w:hint="eastAsia" w:ascii="宋体" w:hAnsi="宋体" w:cs="宋体"/>
                <w:b/>
                <w:bCs/>
                <w:color w:val="000000"/>
                <w:szCs w:val="21"/>
                <w:lang w:val="en-US" w:eastAsia="zh-CN"/>
              </w:rPr>
              <w:t>高</w:t>
            </w:r>
            <w:r>
              <w:rPr>
                <w:rFonts w:hint="eastAsia" w:ascii="宋体" w:hAnsi="宋体" w:cs="宋体"/>
                <w:b/>
                <w:bCs/>
                <w:color w:val="000000"/>
                <w:szCs w:val="21"/>
              </w:rPr>
              <w:t>于</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海淀29</w:t>
            </w:r>
            <w:r>
              <w:rPr>
                <w:rFonts w:hint="eastAsia" w:ascii="宋体" w:hAnsi="宋体" w:cs="宋体"/>
                <w:b/>
                <w:bCs/>
                <w:color w:val="000000"/>
                <w:szCs w:val="21"/>
              </w:rPr>
              <w:t>人</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怀柔24人</w:t>
            </w:r>
            <w:r>
              <w:rPr>
                <w:rFonts w:hint="eastAsia" w:ascii="宋体" w:hAnsi="宋体" w:cs="宋体"/>
                <w:b/>
                <w:bCs/>
                <w:color w:val="000000"/>
                <w:szCs w:val="21"/>
                <w:lang w:eastAsia="zh-CN"/>
              </w:rPr>
              <w:t>）</w:t>
            </w:r>
          </w:p>
        </w:tc>
        <w:tc>
          <w:tcPr>
            <w:tcW w:w="673" w:type="pct"/>
            <w:tcBorders>
              <w:top w:val="single" w:color="auto" w:sz="4" w:space="0"/>
              <w:left w:val="single" w:color="auto" w:sz="4" w:space="0"/>
              <w:bottom w:val="single" w:color="auto" w:sz="4" w:space="0"/>
              <w:right w:val="single" w:color="auto" w:sz="4" w:space="0"/>
            </w:tcBorders>
            <w:vAlign w:val="center"/>
          </w:tcPr>
          <w:p w14:paraId="67934385">
            <w:pPr>
              <w:widowControl/>
              <w:rPr>
                <w:rFonts w:hint="eastAsia" w:ascii="宋体" w:hAnsi="宋体" w:cs="宋体"/>
                <w:color w:val="000000"/>
                <w:szCs w:val="21"/>
              </w:rPr>
            </w:pPr>
          </w:p>
        </w:tc>
        <w:tc>
          <w:tcPr>
            <w:tcW w:w="531" w:type="pct"/>
            <w:tcBorders>
              <w:top w:val="single" w:color="auto" w:sz="4" w:space="0"/>
              <w:left w:val="single" w:color="auto" w:sz="4" w:space="0"/>
              <w:bottom w:val="single" w:color="auto" w:sz="4" w:space="0"/>
              <w:right w:val="single" w:color="auto" w:sz="4" w:space="0"/>
            </w:tcBorders>
            <w:vAlign w:val="center"/>
          </w:tcPr>
          <w:p w14:paraId="120288AA">
            <w:pPr>
              <w:widowControl/>
              <w:jc w:val="center"/>
              <w:rPr>
                <w:rFonts w:hint="eastAsia" w:ascii="宋体" w:hAnsi="宋体" w:cs="宋体"/>
                <w:color w:val="000000"/>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8C31209">
            <w:pPr>
              <w:widowControl/>
              <w:jc w:val="center"/>
              <w:rPr>
                <w:rFonts w:hint="eastAsia" w:ascii="宋体" w:hAnsi="宋体" w:cs="宋体"/>
                <w:color w:val="000000"/>
                <w:szCs w:val="21"/>
              </w:rPr>
            </w:pPr>
          </w:p>
        </w:tc>
      </w:tr>
      <w:tr w14:paraId="4538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291D3849">
            <w:pPr>
              <w:widowControl/>
              <w:jc w:val="center"/>
              <w:rPr>
                <w:rFonts w:hint="eastAsia" w:ascii="宋体" w:hAnsi="宋体" w:cs="宋体"/>
                <w:color w:val="000000"/>
                <w:szCs w:val="21"/>
              </w:rPr>
            </w:pPr>
          </w:p>
        </w:tc>
        <w:tc>
          <w:tcPr>
            <w:tcW w:w="761" w:type="pct"/>
            <w:tcBorders>
              <w:top w:val="single" w:color="auto" w:sz="4" w:space="0"/>
              <w:left w:val="single" w:color="auto" w:sz="4" w:space="0"/>
              <w:bottom w:val="single" w:color="auto" w:sz="4" w:space="0"/>
              <w:right w:val="single" w:color="auto" w:sz="4" w:space="0"/>
            </w:tcBorders>
            <w:vAlign w:val="center"/>
          </w:tcPr>
          <w:p w14:paraId="4A3180A4">
            <w:pPr>
              <w:widowControl/>
              <w:jc w:val="center"/>
              <w:rPr>
                <w:rFonts w:hint="eastAsia" w:ascii="宋体" w:hAnsi="宋体" w:cs="宋体"/>
                <w:color w:val="000000"/>
                <w:szCs w:val="21"/>
              </w:rPr>
            </w:pPr>
          </w:p>
        </w:tc>
        <w:tc>
          <w:tcPr>
            <w:tcW w:w="1784" w:type="pct"/>
            <w:tcBorders>
              <w:top w:val="single" w:color="auto" w:sz="4" w:space="0"/>
              <w:left w:val="single" w:color="auto" w:sz="4" w:space="0"/>
              <w:bottom w:val="single" w:color="auto" w:sz="4" w:space="0"/>
              <w:right w:val="single" w:color="auto" w:sz="4" w:space="0"/>
            </w:tcBorders>
            <w:vAlign w:val="center"/>
          </w:tcPr>
          <w:p w14:paraId="714FAAD3">
            <w:pPr>
              <w:pStyle w:val="58"/>
              <w:rPr>
                <w:rFonts w:hint="eastAsia" w:cs="宋体"/>
                <w:color w:val="000000"/>
              </w:rPr>
            </w:pPr>
          </w:p>
        </w:tc>
        <w:tc>
          <w:tcPr>
            <w:tcW w:w="673" w:type="pct"/>
            <w:tcBorders>
              <w:top w:val="single" w:color="auto" w:sz="4" w:space="0"/>
              <w:left w:val="single" w:color="auto" w:sz="4" w:space="0"/>
              <w:bottom w:val="single" w:color="auto" w:sz="4" w:space="0"/>
              <w:right w:val="single" w:color="auto" w:sz="4" w:space="0"/>
            </w:tcBorders>
            <w:vAlign w:val="center"/>
          </w:tcPr>
          <w:p w14:paraId="0BAA829D">
            <w:pPr>
              <w:widowControl/>
              <w:rPr>
                <w:rFonts w:hint="eastAsia" w:ascii="宋体" w:hAnsi="宋体" w:cs="宋体"/>
                <w:color w:val="000000"/>
                <w:szCs w:val="21"/>
              </w:rPr>
            </w:pPr>
          </w:p>
        </w:tc>
        <w:tc>
          <w:tcPr>
            <w:tcW w:w="531" w:type="pct"/>
            <w:tcBorders>
              <w:top w:val="single" w:color="auto" w:sz="4" w:space="0"/>
              <w:left w:val="single" w:color="auto" w:sz="4" w:space="0"/>
              <w:bottom w:val="single" w:color="auto" w:sz="4" w:space="0"/>
              <w:right w:val="single" w:color="auto" w:sz="4" w:space="0"/>
            </w:tcBorders>
            <w:vAlign w:val="center"/>
          </w:tcPr>
          <w:p w14:paraId="4041FA01">
            <w:pPr>
              <w:widowControl/>
              <w:jc w:val="center"/>
              <w:rPr>
                <w:rFonts w:hint="eastAsia" w:ascii="宋体" w:hAnsi="宋体" w:cs="宋体"/>
                <w:color w:val="000000"/>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48A613F2">
            <w:pPr>
              <w:widowControl/>
              <w:jc w:val="center"/>
              <w:rPr>
                <w:rFonts w:hint="eastAsia" w:ascii="宋体" w:hAnsi="宋体" w:cs="宋体"/>
                <w:color w:val="000000"/>
                <w:szCs w:val="21"/>
              </w:rPr>
            </w:pPr>
          </w:p>
        </w:tc>
      </w:tr>
      <w:tr w14:paraId="6763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6C048FB7">
            <w:pPr>
              <w:widowControl/>
              <w:jc w:val="center"/>
              <w:rPr>
                <w:rFonts w:hint="eastAsia" w:ascii="宋体" w:hAnsi="宋体" w:cs="宋体"/>
                <w:color w:val="000000"/>
                <w:szCs w:val="21"/>
              </w:rPr>
            </w:pPr>
          </w:p>
        </w:tc>
        <w:tc>
          <w:tcPr>
            <w:tcW w:w="761" w:type="pct"/>
            <w:tcBorders>
              <w:top w:val="single" w:color="auto" w:sz="4" w:space="0"/>
              <w:left w:val="single" w:color="auto" w:sz="4" w:space="0"/>
              <w:bottom w:val="single" w:color="auto" w:sz="4" w:space="0"/>
              <w:right w:val="single" w:color="auto" w:sz="4" w:space="0"/>
            </w:tcBorders>
            <w:vAlign w:val="center"/>
          </w:tcPr>
          <w:p w14:paraId="68CD784B">
            <w:pPr>
              <w:widowControl/>
              <w:jc w:val="center"/>
              <w:rPr>
                <w:rFonts w:hint="eastAsia" w:ascii="宋体" w:hAnsi="宋体" w:cs="宋体"/>
                <w:color w:val="000000"/>
                <w:szCs w:val="21"/>
              </w:rPr>
            </w:pPr>
          </w:p>
        </w:tc>
        <w:tc>
          <w:tcPr>
            <w:tcW w:w="1784" w:type="pct"/>
            <w:tcBorders>
              <w:top w:val="single" w:color="auto" w:sz="4" w:space="0"/>
              <w:left w:val="single" w:color="auto" w:sz="4" w:space="0"/>
              <w:bottom w:val="single" w:color="auto" w:sz="4" w:space="0"/>
              <w:right w:val="single" w:color="auto" w:sz="4" w:space="0"/>
            </w:tcBorders>
            <w:vAlign w:val="center"/>
          </w:tcPr>
          <w:p w14:paraId="3A6883C2">
            <w:pPr>
              <w:pStyle w:val="58"/>
              <w:rPr>
                <w:rFonts w:hint="eastAsia" w:cs="宋体"/>
                <w:color w:val="000000"/>
              </w:rPr>
            </w:pPr>
          </w:p>
        </w:tc>
        <w:tc>
          <w:tcPr>
            <w:tcW w:w="673" w:type="pct"/>
            <w:tcBorders>
              <w:top w:val="single" w:color="auto" w:sz="4" w:space="0"/>
              <w:left w:val="single" w:color="auto" w:sz="4" w:space="0"/>
              <w:bottom w:val="single" w:color="auto" w:sz="4" w:space="0"/>
              <w:right w:val="single" w:color="auto" w:sz="4" w:space="0"/>
            </w:tcBorders>
            <w:vAlign w:val="center"/>
          </w:tcPr>
          <w:p w14:paraId="0D819C56">
            <w:pPr>
              <w:widowControl/>
              <w:rPr>
                <w:rFonts w:hint="eastAsia" w:ascii="宋体" w:hAnsi="宋体" w:cs="宋体"/>
                <w:color w:val="000000"/>
                <w:szCs w:val="21"/>
              </w:rPr>
            </w:pPr>
          </w:p>
        </w:tc>
        <w:tc>
          <w:tcPr>
            <w:tcW w:w="531" w:type="pct"/>
            <w:tcBorders>
              <w:top w:val="single" w:color="auto" w:sz="4" w:space="0"/>
              <w:left w:val="single" w:color="auto" w:sz="4" w:space="0"/>
              <w:bottom w:val="single" w:color="auto" w:sz="4" w:space="0"/>
              <w:right w:val="single" w:color="auto" w:sz="4" w:space="0"/>
            </w:tcBorders>
            <w:vAlign w:val="center"/>
          </w:tcPr>
          <w:p w14:paraId="02925465">
            <w:pPr>
              <w:widowControl/>
              <w:jc w:val="center"/>
              <w:rPr>
                <w:rFonts w:hint="eastAsia" w:ascii="宋体" w:hAnsi="宋体" w:cs="宋体"/>
                <w:color w:val="000000"/>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0C218FAE">
            <w:pPr>
              <w:widowControl/>
              <w:jc w:val="center"/>
              <w:rPr>
                <w:rFonts w:hint="eastAsia" w:ascii="宋体" w:hAnsi="宋体" w:cs="宋体"/>
                <w:color w:val="000000"/>
                <w:szCs w:val="21"/>
              </w:rPr>
            </w:pPr>
          </w:p>
        </w:tc>
      </w:tr>
    </w:tbl>
    <w:p w14:paraId="587FC69F">
      <w:pPr>
        <w:pStyle w:val="4"/>
        <w:rPr>
          <w:rFonts w:hint="eastAsia" w:eastAsia="宋体"/>
          <w:color w:val="000000"/>
        </w:rPr>
      </w:pPr>
      <w:r>
        <w:rPr>
          <w:rFonts w:hint="eastAsia" w:eastAsia="宋体"/>
          <w:color w:val="000000"/>
        </w:rPr>
        <w:t>5.3.3 服务方案</w:t>
      </w:r>
    </w:p>
    <w:p w14:paraId="05BFD7D9">
      <w:pPr>
        <w:spacing w:line="360" w:lineRule="auto"/>
        <w:ind w:firstLine="420" w:firstLineChars="200"/>
        <w:rPr>
          <w:rFonts w:hint="eastAsia" w:ascii="宋体" w:hAnsi="宋体" w:cs="宋体"/>
          <w:color w:val="000000"/>
        </w:rPr>
      </w:pPr>
      <w:r>
        <w:rPr>
          <w:rFonts w:hint="eastAsia" w:ascii="宋体" w:hAnsi="宋体" w:cs="宋体"/>
          <w:color w:val="000000"/>
        </w:rPr>
        <w:t>提供餐饮服务方案，服务方案应对招标人的采购需求进行重点难点分析，服务方案应具有个性化、多样性的供餐服务模式，</w:t>
      </w:r>
      <w:r>
        <w:rPr>
          <w:rFonts w:hint="eastAsia" w:ascii="宋体" w:hAnsi="宋体" w:cs="宋体"/>
          <w:kern w:val="0"/>
          <w:szCs w:val="21"/>
        </w:rPr>
        <w:t>包括但不限于承担工作餐、商务餐、招待餐、会议用餐、风味小吃、熟食外卖、延伸服务和其他临时安排的就餐任务</w:t>
      </w:r>
      <w:r>
        <w:rPr>
          <w:rFonts w:hint="eastAsia" w:ascii="宋体" w:hAnsi="宋体" w:cs="宋体"/>
          <w:color w:val="000000"/>
        </w:rPr>
        <w:t>。</w:t>
      </w:r>
    </w:p>
    <w:p w14:paraId="2062191A">
      <w:pPr>
        <w:pStyle w:val="4"/>
        <w:rPr>
          <w:rFonts w:hint="eastAsia" w:eastAsia="宋体"/>
          <w:color w:val="000000"/>
        </w:rPr>
      </w:pPr>
      <w:r>
        <w:rPr>
          <w:rFonts w:hint="eastAsia"/>
          <w:color w:val="000000"/>
        </w:rPr>
        <w:t>5</w:t>
      </w:r>
      <w:r>
        <w:rPr>
          <w:rFonts w:hint="eastAsia" w:eastAsia="宋体"/>
          <w:color w:val="000000"/>
        </w:rPr>
        <w:t>.3.4 食品卫生安全保障、食品健康、</w:t>
      </w:r>
      <w:r>
        <w:rPr>
          <w:rFonts w:hint="eastAsia" w:eastAsia="宋体" w:cs="宋体"/>
          <w:color w:val="000000"/>
          <w:kern w:val="0"/>
        </w:rPr>
        <w:t>厨房设施设备维护保养、水电气节约措施、反食品浪费、垃圾处理、项目保障</w:t>
      </w:r>
      <w:r>
        <w:rPr>
          <w:rFonts w:hint="eastAsia" w:eastAsia="宋体"/>
          <w:color w:val="000000"/>
        </w:rPr>
        <w:t>等保障措施方案</w:t>
      </w:r>
    </w:p>
    <w:p w14:paraId="16454415">
      <w:pPr>
        <w:spacing w:line="360" w:lineRule="auto"/>
        <w:ind w:firstLine="420" w:firstLineChars="200"/>
        <w:rPr>
          <w:rFonts w:hint="eastAsia" w:ascii="宋体" w:hAnsi="宋体" w:cs="宋体"/>
          <w:color w:val="000000"/>
        </w:rPr>
      </w:pPr>
      <w:r>
        <w:rPr>
          <w:rFonts w:hint="eastAsia" w:ascii="宋体" w:hAnsi="宋体" w:cs="宋体"/>
          <w:color w:val="000000"/>
        </w:rPr>
        <w:t>提供食品卫生安全保障、食品健康、厨房设施设备维护保养、水电气节约措施、反食品浪费措施、垃圾处理措施、项目保障的方案。</w:t>
      </w:r>
    </w:p>
    <w:p w14:paraId="21D89CA9">
      <w:pPr>
        <w:pStyle w:val="4"/>
        <w:rPr>
          <w:rFonts w:hint="eastAsia" w:eastAsia="宋体"/>
          <w:color w:val="000000"/>
        </w:rPr>
      </w:pPr>
      <w:r>
        <w:rPr>
          <w:rFonts w:hint="eastAsia" w:eastAsia="宋体"/>
          <w:color w:val="000000"/>
        </w:rPr>
        <w:t>5.3.5 人员管理和服务团队方案</w:t>
      </w:r>
    </w:p>
    <w:p w14:paraId="1BE0F10B">
      <w:pPr>
        <w:spacing w:line="360" w:lineRule="auto"/>
        <w:ind w:firstLine="420" w:firstLineChars="200"/>
        <w:rPr>
          <w:rFonts w:hint="eastAsia" w:ascii="宋体" w:hAnsi="宋体" w:cs="宋体"/>
          <w:color w:val="000000"/>
        </w:rPr>
      </w:pPr>
      <w:r>
        <w:rPr>
          <w:rFonts w:hint="eastAsia" w:ascii="宋体" w:hAnsi="宋体" w:cs="宋体"/>
          <w:color w:val="000000"/>
        </w:rPr>
        <w:t>（1）投标人结合本项目特点提供人员管理方案，包括但不限于人员储备、人员培训、厨师轮换等方面。</w:t>
      </w:r>
    </w:p>
    <w:p w14:paraId="6CCCE25E">
      <w:pPr>
        <w:spacing w:line="360" w:lineRule="auto"/>
        <w:ind w:firstLine="420" w:firstLineChars="200"/>
        <w:rPr>
          <w:rFonts w:hint="eastAsia" w:ascii="宋体" w:hAnsi="宋体" w:cs="宋体"/>
          <w:color w:val="000000"/>
        </w:rPr>
      </w:pPr>
      <w:r>
        <w:rPr>
          <w:rFonts w:hint="eastAsia" w:ascii="宋体" w:hAnsi="宋体" w:cs="宋体"/>
          <w:color w:val="000000"/>
        </w:rPr>
        <w:t>（2）</w:t>
      </w:r>
      <w:r>
        <w:rPr>
          <w:rFonts w:hint="eastAsia" w:ascii="宋体" w:hAnsi="宋体" w:cs="宋体"/>
          <w:kern w:val="0"/>
          <w:szCs w:val="21"/>
        </w:rPr>
        <w:t>投标人根据本项目特点提供不高于（海淀29人、怀柔24人）编制的团队。配备人员数量满足招标文件要求，且岗位分工明确、人员结构合理、工种配置合理，人员岗位工资编制合理、五险一金缴纳符合国家规定。投标人服务团队中一级厨师不得少于1名，二级和三级厨师不得少于8名；具备专业技术资格、擅长制作川、鲁、粤、湘、徽、江浙、东北菜厨师各不得少于1名；具备专业技术资格的面点师不少于8人。男不超过60岁，女不超过58岁，其中50%的服务员年龄不得超过35岁，服务团队平均年龄不超过45岁。</w:t>
      </w:r>
    </w:p>
    <w:p w14:paraId="773D588B">
      <w:pPr>
        <w:pStyle w:val="4"/>
        <w:rPr>
          <w:rFonts w:hint="eastAsia" w:eastAsia="宋体"/>
          <w:color w:val="000000"/>
        </w:rPr>
      </w:pPr>
      <w:r>
        <w:rPr>
          <w:rFonts w:hint="eastAsia" w:eastAsia="宋体"/>
          <w:color w:val="000000"/>
        </w:rPr>
        <w:t>5.3.6 原材料采购及价格控制方案</w:t>
      </w:r>
    </w:p>
    <w:p w14:paraId="65703C2E">
      <w:pPr>
        <w:spacing w:line="360" w:lineRule="auto"/>
        <w:ind w:firstLine="420" w:firstLineChars="200"/>
        <w:rPr>
          <w:rFonts w:hint="eastAsia" w:ascii="宋体" w:hAnsi="宋体" w:cs="宋体"/>
          <w:color w:val="000000"/>
        </w:rPr>
      </w:pPr>
      <w:r>
        <w:rPr>
          <w:rFonts w:hint="eastAsia" w:ascii="宋体" w:hAnsi="宋体" w:cs="宋体"/>
          <w:color w:val="000000"/>
        </w:rPr>
        <w:t>（1）投标人具有</w:t>
      </w:r>
      <w:r>
        <w:rPr>
          <w:rFonts w:hint="eastAsia" w:ascii="宋体" w:hAnsi="宋体" w:cs="宋体"/>
          <w:color w:val="000000"/>
          <w:kern w:val="0"/>
          <w:szCs w:val="21"/>
        </w:rPr>
        <w:t>完善的原材料采购供应链和完备的原材料价格控制措施</w:t>
      </w:r>
      <w:r>
        <w:rPr>
          <w:rFonts w:hint="eastAsia" w:ascii="宋体" w:hAnsi="宋体" w:cs="宋体"/>
          <w:color w:val="000000"/>
        </w:rPr>
        <w:t>。</w:t>
      </w:r>
    </w:p>
    <w:p w14:paraId="67901CCA">
      <w:pPr>
        <w:spacing w:line="360" w:lineRule="auto"/>
        <w:ind w:firstLine="420" w:firstLineChars="200"/>
        <w:rPr>
          <w:rFonts w:hint="eastAsia" w:ascii="宋体" w:hAnsi="宋体" w:cs="宋体"/>
          <w:color w:val="000000"/>
        </w:rPr>
      </w:pPr>
      <w:r>
        <w:rPr>
          <w:rFonts w:hint="eastAsia" w:ascii="宋体" w:hAnsi="宋体" w:cs="宋体"/>
          <w:color w:val="000000"/>
        </w:rPr>
        <w:t>（2）</w:t>
      </w:r>
      <w:r>
        <w:rPr>
          <w:rFonts w:hint="eastAsia" w:ascii="宋体" w:hAnsi="宋体" w:cs="宋体"/>
          <w:color w:val="000000"/>
          <w:kern w:val="0"/>
          <w:szCs w:val="21"/>
        </w:rPr>
        <w:t>投标人有自有有机蔬菜基地或有战略合作的有机蔬菜基地，提供证明材料的复印件。</w:t>
      </w:r>
    </w:p>
    <w:p w14:paraId="75C24CE8">
      <w:pPr>
        <w:pStyle w:val="4"/>
        <w:rPr>
          <w:rFonts w:hint="eastAsia" w:eastAsia="宋体"/>
          <w:color w:val="000000"/>
        </w:rPr>
      </w:pPr>
      <w:r>
        <w:rPr>
          <w:rFonts w:hint="eastAsia" w:eastAsia="宋体"/>
          <w:color w:val="000000"/>
        </w:rPr>
        <w:t>5.3.7 应急预案</w:t>
      </w:r>
    </w:p>
    <w:p w14:paraId="3A72ADD8">
      <w:pPr>
        <w:spacing w:line="360" w:lineRule="auto"/>
        <w:ind w:firstLine="420" w:firstLineChars="200"/>
        <w:rPr>
          <w:rFonts w:hint="eastAsia" w:ascii="宋体" w:hAnsi="宋体" w:cs="宋体"/>
          <w:color w:val="000000"/>
        </w:rPr>
      </w:pPr>
      <w:r>
        <w:rPr>
          <w:rFonts w:hint="eastAsia" w:ascii="宋体" w:hAnsi="宋体" w:cs="宋体"/>
          <w:color w:val="000000"/>
        </w:rPr>
        <w:t>具有应急管理的能力，应急人员需在30分钟内到达现场，投标人根据本项目特点及要求提供应急预案，包括但不限于就餐人员临时陡增、火警火灾、防盗、中毒事件、疫情、停水停电等。</w:t>
      </w:r>
    </w:p>
    <w:p w14:paraId="1453F35C">
      <w:pPr>
        <w:pStyle w:val="4"/>
        <w:rPr>
          <w:rFonts w:hint="eastAsia" w:eastAsia="宋体"/>
          <w:color w:val="000000"/>
        </w:rPr>
      </w:pPr>
      <w:r>
        <w:rPr>
          <w:rFonts w:hint="eastAsia" w:eastAsia="宋体"/>
          <w:color w:val="000000"/>
        </w:rPr>
        <w:t>5.3.8 相关负责人</w:t>
      </w:r>
    </w:p>
    <w:p w14:paraId="69E6F223">
      <w:pPr>
        <w:spacing w:line="360" w:lineRule="auto"/>
        <w:ind w:firstLine="420" w:firstLineChars="200"/>
        <w:rPr>
          <w:rFonts w:hint="eastAsia" w:ascii="宋体" w:hAnsi="宋体" w:cs="宋体"/>
          <w:color w:val="000000"/>
        </w:rPr>
      </w:pPr>
      <w:r>
        <w:rPr>
          <w:rFonts w:hint="eastAsia" w:ascii="宋体" w:hAnsi="宋体" w:cs="宋体"/>
          <w:color w:val="000000"/>
        </w:rPr>
        <w:t>（1）</w:t>
      </w:r>
      <w:r>
        <w:rPr>
          <w:rFonts w:hint="eastAsia" w:ascii="宋体" w:hAnsi="宋体" w:cs="宋体"/>
          <w:color w:val="000000"/>
          <w:kern w:val="0"/>
          <w:szCs w:val="21"/>
        </w:rPr>
        <w:t>拟派本项目的项目经理，提供相关证明材料的复印件及工作简历</w:t>
      </w:r>
      <w:r>
        <w:rPr>
          <w:rFonts w:hint="eastAsia" w:ascii="宋体" w:hAnsi="宋体" w:cs="宋体"/>
          <w:color w:val="000000"/>
        </w:rPr>
        <w:t>。</w:t>
      </w:r>
    </w:p>
    <w:p w14:paraId="55FD40AB">
      <w:pPr>
        <w:spacing w:line="360" w:lineRule="auto"/>
        <w:ind w:firstLine="420" w:firstLineChars="200"/>
        <w:rPr>
          <w:rFonts w:hint="eastAsia" w:ascii="宋体" w:hAnsi="宋体" w:cs="宋体"/>
          <w:color w:val="000000"/>
          <w:kern w:val="0"/>
          <w:szCs w:val="21"/>
        </w:rPr>
      </w:pPr>
      <w:r>
        <w:rPr>
          <w:rFonts w:hint="eastAsia" w:ascii="宋体" w:hAnsi="宋体" w:cs="宋体"/>
          <w:color w:val="000000"/>
        </w:rPr>
        <w:t>（2）</w:t>
      </w:r>
      <w:r>
        <w:rPr>
          <w:rFonts w:hint="eastAsia" w:ascii="宋体" w:hAnsi="宋体" w:cs="宋体"/>
          <w:color w:val="000000"/>
          <w:kern w:val="0"/>
          <w:szCs w:val="21"/>
        </w:rPr>
        <w:t>拟派本项目的厨师长（兼宴会主厨），提供相关证明材料的复印件及工作简历。</w:t>
      </w:r>
    </w:p>
    <w:p w14:paraId="25696E07">
      <w:pPr>
        <w:spacing w:line="360" w:lineRule="auto"/>
        <w:ind w:firstLine="420" w:firstLineChars="200"/>
        <w:rPr>
          <w:rFonts w:hint="eastAsia" w:ascii="宋体" w:hAnsi="宋体" w:cs="宋体"/>
          <w:color w:val="000000"/>
        </w:rPr>
      </w:pPr>
      <w:r>
        <w:rPr>
          <w:rFonts w:hint="eastAsia" w:ascii="宋体" w:hAnsi="宋体" w:cs="宋体"/>
          <w:color w:val="000000"/>
          <w:kern w:val="0"/>
          <w:szCs w:val="21"/>
        </w:rPr>
        <w:t>（3）拟派本项目的前厅经理，提供相关证明材料的复印件及工作简历。</w:t>
      </w:r>
    </w:p>
    <w:p w14:paraId="042D3AD6">
      <w:pPr>
        <w:pStyle w:val="4"/>
        <w:rPr>
          <w:rFonts w:hint="eastAsia" w:eastAsia="宋体"/>
          <w:color w:val="000000"/>
        </w:rPr>
      </w:pPr>
      <w:r>
        <w:rPr>
          <w:rFonts w:hint="eastAsia" w:eastAsia="宋体"/>
          <w:color w:val="000000"/>
        </w:rPr>
        <w:t>5.3.9 增值服务</w:t>
      </w:r>
    </w:p>
    <w:p w14:paraId="4DAF33AE">
      <w:pPr>
        <w:spacing w:line="360" w:lineRule="auto"/>
        <w:ind w:firstLine="420" w:firstLineChars="200"/>
        <w:rPr>
          <w:rFonts w:hint="eastAsia" w:ascii="宋体" w:hAnsi="宋体" w:cs="宋体"/>
          <w:color w:val="000000"/>
        </w:rPr>
      </w:pPr>
      <w:r>
        <w:rPr>
          <w:rFonts w:hint="eastAsia" w:ascii="宋体" w:hAnsi="宋体" w:cs="宋体"/>
          <w:color w:val="000000"/>
        </w:rPr>
        <w:t>在满足招标文件要求的基础上，提供额外的增值服务。</w:t>
      </w:r>
    </w:p>
    <w:p w14:paraId="1213D683">
      <w:pPr>
        <w:rPr>
          <w:color w:val="000000"/>
        </w:rPr>
      </w:pPr>
      <w:r>
        <w:rPr>
          <w:color w:val="000000"/>
        </w:rPr>
        <w:br w:type="page"/>
      </w:r>
    </w:p>
    <w:p w14:paraId="26446B2A">
      <w:pPr>
        <w:pStyle w:val="2"/>
        <w:rPr>
          <w:b w:val="0"/>
          <w:bCs w:val="0"/>
          <w:color w:val="000000"/>
        </w:rPr>
      </w:pPr>
      <w:bookmarkStart w:id="45" w:name="_Toc9400"/>
      <w:r>
        <w:rPr>
          <w:rFonts w:hint="eastAsia"/>
          <w:b w:val="0"/>
          <w:bCs w:val="0"/>
          <w:color w:val="000000"/>
        </w:rPr>
        <w:t>第六部分</w:t>
      </w:r>
      <w:r>
        <w:rPr>
          <w:b w:val="0"/>
          <w:bCs w:val="0"/>
          <w:color w:val="000000"/>
        </w:rPr>
        <w:t xml:space="preserve"> </w:t>
      </w:r>
      <w:r>
        <w:rPr>
          <w:rFonts w:hint="eastAsia"/>
          <w:b w:val="0"/>
          <w:bCs w:val="0"/>
          <w:color w:val="000000"/>
        </w:rPr>
        <w:t>附件</w:t>
      </w:r>
      <w:bookmarkEnd w:id="45"/>
    </w:p>
    <w:p w14:paraId="01F01967">
      <w:pPr>
        <w:adjustRightInd w:val="0"/>
        <w:snapToGrid w:val="0"/>
        <w:spacing w:line="360" w:lineRule="auto"/>
        <w:jc w:val="center"/>
        <w:outlineLvl w:val="0"/>
        <w:rPr>
          <w:rFonts w:hint="eastAsia" w:ascii="宋体" w:hAnsi="宋体"/>
          <w:b/>
          <w:bCs/>
          <w:sz w:val="30"/>
          <w:szCs w:val="30"/>
        </w:rPr>
      </w:pPr>
      <w:r>
        <w:rPr>
          <w:rFonts w:hint="eastAsia" w:ascii="宋体" w:hAnsi="宋体"/>
          <w:b/>
          <w:bCs/>
          <w:sz w:val="30"/>
          <w:szCs w:val="30"/>
          <w:lang w:val="en-US" w:eastAsia="zh-CN"/>
        </w:rPr>
        <w:t>中国机械总院</w:t>
      </w:r>
      <w:r>
        <w:rPr>
          <w:rFonts w:hint="eastAsia" w:ascii="宋体" w:hAnsi="宋体"/>
          <w:b/>
          <w:bCs/>
          <w:sz w:val="30"/>
          <w:szCs w:val="30"/>
        </w:rPr>
        <w:t>餐饮服务合同</w:t>
      </w:r>
    </w:p>
    <w:p w14:paraId="1C253C6C">
      <w:pPr>
        <w:spacing w:line="360" w:lineRule="auto"/>
        <w:ind w:firstLine="420" w:firstLineChars="200"/>
        <w:rPr>
          <w:rFonts w:hint="eastAsia" w:ascii="宋体" w:hAnsi="宋体" w:cs="宋体"/>
          <w:color w:val="000000"/>
        </w:rPr>
      </w:pPr>
      <w:bookmarkStart w:id="46" w:name="_检验和测试（通用条款第8条）"/>
      <w:bookmarkEnd w:id="46"/>
      <w:bookmarkStart w:id="47" w:name="_付款（通用条款第17条）"/>
      <w:bookmarkEnd w:id="47"/>
      <w:bookmarkStart w:id="48" w:name="_包装（通用条款第9条）"/>
      <w:bookmarkEnd w:id="48"/>
      <w:bookmarkStart w:id="49" w:name="_合同终止和暂停（通用条款第23条）"/>
      <w:bookmarkEnd w:id="49"/>
      <w:bookmarkStart w:id="50" w:name="_装运及交货（新增专用条款第8条）"/>
      <w:bookmarkEnd w:id="50"/>
      <w:bookmarkStart w:id="51" w:name="_违约索赔和赔偿（通用条款第22条）"/>
      <w:bookmarkEnd w:id="51"/>
    </w:p>
    <w:p w14:paraId="3AA7B014">
      <w:pPr>
        <w:spacing w:line="360" w:lineRule="auto"/>
        <w:ind w:firstLine="420" w:firstLineChars="200"/>
        <w:rPr>
          <w:rFonts w:hint="default" w:ascii="宋体" w:hAnsi="宋体" w:eastAsia="宋体" w:cs="宋体"/>
          <w:color w:val="000000"/>
          <w:lang w:val="en-US" w:eastAsia="zh-CN"/>
        </w:rPr>
      </w:pPr>
      <w:r>
        <w:rPr>
          <w:rFonts w:hint="eastAsia" w:ascii="宋体" w:hAnsi="宋体" w:cs="宋体"/>
          <w:color w:val="000000"/>
        </w:rPr>
        <w:t>甲方：</w:t>
      </w:r>
      <w:r>
        <w:rPr>
          <w:rFonts w:hint="eastAsia" w:ascii="宋体" w:hAnsi="宋体" w:cs="宋体"/>
          <w:color w:val="000000"/>
          <w:lang w:val="en-US" w:eastAsia="zh-CN"/>
        </w:rPr>
        <w:t>中国机械科学研究总院集团有限公司</w:t>
      </w:r>
    </w:p>
    <w:p w14:paraId="71587945">
      <w:pPr>
        <w:spacing w:line="360" w:lineRule="auto"/>
        <w:ind w:firstLine="420" w:firstLineChars="200"/>
        <w:rPr>
          <w:rFonts w:hint="default" w:ascii="宋体" w:hAnsi="宋体" w:eastAsia="宋体" w:cs="宋体"/>
          <w:color w:val="000000"/>
          <w:lang w:val="en-US" w:eastAsia="zh-CN"/>
        </w:rPr>
      </w:pPr>
      <w:r>
        <w:rPr>
          <w:rFonts w:hint="eastAsia" w:ascii="宋体" w:hAnsi="宋体" w:cs="宋体"/>
          <w:color w:val="000000"/>
        </w:rPr>
        <w:t>地址：北京市</w:t>
      </w:r>
      <w:r>
        <w:rPr>
          <w:rFonts w:hint="eastAsia" w:ascii="宋体" w:hAnsi="宋体" w:cs="宋体"/>
          <w:color w:val="000000"/>
          <w:lang w:val="en-US" w:eastAsia="zh-CN"/>
        </w:rPr>
        <w:t>海淀区首体南路2号</w:t>
      </w:r>
    </w:p>
    <w:p w14:paraId="5E19BD3F">
      <w:pPr>
        <w:spacing w:line="360" w:lineRule="auto"/>
        <w:ind w:firstLine="420" w:firstLineChars="200"/>
        <w:rPr>
          <w:rFonts w:hint="eastAsia" w:ascii="宋体" w:hAnsi="宋体" w:cs="宋体"/>
          <w:color w:val="000000"/>
        </w:rPr>
      </w:pPr>
      <w:r>
        <w:rPr>
          <w:rFonts w:hint="eastAsia" w:ascii="宋体" w:hAnsi="宋体" w:cs="宋体"/>
          <w:color w:val="000000"/>
        </w:rPr>
        <w:t>乙方：</w:t>
      </w:r>
    </w:p>
    <w:p w14:paraId="5AA7CDD0">
      <w:pPr>
        <w:spacing w:line="360" w:lineRule="auto"/>
        <w:ind w:firstLine="420" w:firstLineChars="200"/>
        <w:rPr>
          <w:rFonts w:hint="eastAsia" w:ascii="宋体" w:hAnsi="宋体" w:cs="宋体"/>
          <w:color w:val="000000"/>
        </w:rPr>
      </w:pPr>
      <w:r>
        <w:rPr>
          <w:rFonts w:hint="eastAsia" w:ascii="宋体" w:hAnsi="宋体" w:cs="宋体"/>
          <w:color w:val="000000"/>
        </w:rPr>
        <w:t>地址：</w:t>
      </w:r>
    </w:p>
    <w:p w14:paraId="56909C94">
      <w:pPr>
        <w:spacing w:line="360" w:lineRule="auto"/>
        <w:ind w:firstLine="420" w:firstLineChars="200"/>
        <w:rPr>
          <w:rFonts w:hint="eastAsia" w:ascii="宋体" w:hAnsi="宋体" w:cs="宋体"/>
          <w:color w:val="000000"/>
        </w:rPr>
      </w:pPr>
    </w:p>
    <w:p w14:paraId="3281293D">
      <w:pPr>
        <w:spacing w:line="360" w:lineRule="auto"/>
        <w:ind w:firstLine="420" w:firstLineChars="200"/>
        <w:rPr>
          <w:rFonts w:hint="eastAsia" w:ascii="宋体" w:hAnsi="宋体" w:cs="宋体"/>
          <w:color w:val="000000"/>
        </w:rPr>
      </w:pPr>
      <w:r>
        <w:rPr>
          <w:rFonts w:hint="eastAsia" w:ascii="宋体" w:hAnsi="宋体" w:cs="宋体"/>
          <w:color w:val="000000"/>
        </w:rPr>
        <w:t>鉴于本合同双方当事人：</w:t>
      </w:r>
    </w:p>
    <w:p w14:paraId="1318CC6A">
      <w:pPr>
        <w:spacing w:line="360" w:lineRule="auto"/>
        <w:ind w:firstLine="420" w:firstLineChars="200"/>
        <w:rPr>
          <w:rFonts w:hint="eastAsia" w:ascii="宋体" w:hAnsi="宋体" w:cs="宋体"/>
          <w:color w:val="000000"/>
        </w:rPr>
      </w:pPr>
      <w:r>
        <w:rPr>
          <w:rFonts w:hint="eastAsia" w:ascii="宋体" w:hAnsi="宋体" w:cs="宋体"/>
          <w:color w:val="000000"/>
        </w:rPr>
        <w:t>（1）均为依照中华人民共和国法律成立并有效存续的独立法人；</w:t>
      </w:r>
    </w:p>
    <w:p w14:paraId="18C6C405">
      <w:pPr>
        <w:spacing w:line="360" w:lineRule="auto"/>
        <w:ind w:firstLine="420" w:firstLineChars="200"/>
        <w:rPr>
          <w:rFonts w:hint="eastAsia" w:ascii="宋体" w:hAnsi="宋体" w:cs="宋体"/>
          <w:color w:val="000000"/>
        </w:rPr>
      </w:pPr>
      <w:r>
        <w:rPr>
          <w:rFonts w:hint="eastAsia" w:ascii="宋体" w:hAnsi="宋体" w:cs="宋体"/>
          <w:color w:val="000000"/>
        </w:rPr>
        <w:t>（2）并且已经获得签署本合同的相应授权；</w:t>
      </w:r>
    </w:p>
    <w:p w14:paraId="570ABA14">
      <w:pPr>
        <w:spacing w:line="360" w:lineRule="auto"/>
        <w:ind w:firstLine="420" w:firstLineChars="200"/>
        <w:rPr>
          <w:rFonts w:hint="eastAsia" w:ascii="宋体" w:hAnsi="宋体" w:cs="宋体"/>
          <w:color w:val="000000"/>
        </w:rPr>
      </w:pPr>
      <w:r>
        <w:rPr>
          <w:rFonts w:hint="eastAsia" w:ascii="宋体" w:hAnsi="宋体" w:cs="宋体"/>
          <w:color w:val="000000"/>
        </w:rPr>
        <w:t>（3）具备履行本合同所必须的资质和条件。</w:t>
      </w:r>
    </w:p>
    <w:p w14:paraId="6463B134">
      <w:pPr>
        <w:spacing w:line="360" w:lineRule="auto"/>
        <w:rPr>
          <w:rFonts w:hint="eastAsia" w:ascii="宋体" w:hAnsi="宋体"/>
          <w:sz w:val="24"/>
        </w:rPr>
      </w:pPr>
    </w:p>
    <w:p w14:paraId="729034A8">
      <w:pPr>
        <w:spacing w:line="360" w:lineRule="auto"/>
        <w:ind w:firstLine="422" w:firstLineChars="200"/>
        <w:rPr>
          <w:rFonts w:hint="eastAsia" w:ascii="宋体" w:hAnsi="宋体"/>
          <w:b/>
          <w:szCs w:val="21"/>
        </w:rPr>
      </w:pPr>
      <w:r>
        <w:rPr>
          <w:rFonts w:hint="eastAsia" w:ascii="宋体" w:hAnsi="宋体"/>
          <w:b/>
          <w:szCs w:val="21"/>
        </w:rPr>
        <w:t>第一条 合同标的物</w:t>
      </w:r>
    </w:p>
    <w:p w14:paraId="697CAD20">
      <w:pPr>
        <w:spacing w:line="360" w:lineRule="auto"/>
        <w:ind w:firstLine="420" w:firstLineChars="200"/>
        <w:rPr>
          <w:rFonts w:hint="eastAsia" w:ascii="宋体" w:hAnsi="宋体" w:cs="宋体"/>
          <w:szCs w:val="21"/>
        </w:rPr>
      </w:pPr>
      <w:r>
        <w:rPr>
          <w:rFonts w:hint="eastAsia" w:ascii="宋体" w:hAnsi="宋体" w:cs="宋体"/>
          <w:color w:val="000000"/>
          <w:szCs w:val="21"/>
        </w:rPr>
        <w:t>1.乙方按照本合同的要求提供</w:t>
      </w:r>
      <w:r>
        <w:rPr>
          <w:rFonts w:hint="eastAsia" w:ascii="宋体" w:hAnsi="宋体" w:cs="宋体"/>
          <w:color w:val="000000"/>
          <w:szCs w:val="21"/>
          <w:lang w:val="en-US" w:eastAsia="zh-CN"/>
        </w:rPr>
        <w:t>中国机械总院</w:t>
      </w:r>
      <w:r>
        <w:rPr>
          <w:rFonts w:hint="eastAsia" w:ascii="宋体" w:hAnsi="宋体" w:cs="宋体"/>
          <w:color w:val="000000"/>
          <w:szCs w:val="21"/>
        </w:rPr>
        <w:t>食堂的餐饮服务，保证</w:t>
      </w:r>
      <w:r>
        <w:rPr>
          <w:rFonts w:hint="eastAsia" w:ascii="宋体" w:hAnsi="宋体" w:cs="宋体"/>
          <w:color w:val="000000"/>
          <w:szCs w:val="21"/>
          <w:lang w:val="en-US" w:eastAsia="zh-CN"/>
        </w:rPr>
        <w:t>中国机械总院海淀、怀柔办公区</w:t>
      </w:r>
      <w:r>
        <w:rPr>
          <w:rFonts w:hint="eastAsia" w:ascii="宋体" w:hAnsi="宋体" w:cs="宋体"/>
          <w:color w:val="000000"/>
          <w:szCs w:val="21"/>
        </w:rPr>
        <w:t>就餐的工作人员[包括甲方、</w:t>
      </w:r>
      <w:r>
        <w:rPr>
          <w:rFonts w:hint="eastAsia" w:ascii="宋体" w:hAnsi="宋体" w:cs="宋体"/>
          <w:color w:val="000000"/>
          <w:szCs w:val="21"/>
          <w:lang w:val="en-US" w:eastAsia="zh-CN"/>
        </w:rPr>
        <w:t>中国机械总院</w:t>
      </w:r>
      <w:r>
        <w:rPr>
          <w:rFonts w:hint="eastAsia" w:ascii="宋体" w:hAnsi="宋体" w:cs="宋体"/>
          <w:color w:val="000000"/>
          <w:szCs w:val="21"/>
        </w:rPr>
        <w:t>成员单位员工以及甲方同意的其他人员]全年365天餐饮服务（包括工作日及节假日因</w:t>
      </w:r>
      <w:r>
        <w:rPr>
          <w:rFonts w:hint="eastAsia" w:ascii="宋体" w:hAnsi="宋体" w:cs="宋体"/>
          <w:bCs/>
          <w:szCs w:val="21"/>
          <w:lang w:bidi="ar"/>
        </w:rPr>
        <w:t>工</w:t>
      </w:r>
      <w:r>
        <w:rPr>
          <w:rFonts w:hint="eastAsia" w:ascii="宋体" w:hAnsi="宋体" w:cs="宋体"/>
          <w:color w:val="000000"/>
          <w:szCs w:val="21"/>
        </w:rPr>
        <w:t>用餐），早07:</w:t>
      </w:r>
      <w:r>
        <w:rPr>
          <w:rFonts w:hint="eastAsia" w:ascii="宋体" w:hAnsi="宋体" w:cs="宋体"/>
          <w:color w:val="000000"/>
          <w:szCs w:val="21"/>
          <w:lang w:val="en-US" w:eastAsia="zh-CN"/>
        </w:rPr>
        <w:t>0</w:t>
      </w:r>
      <w:r>
        <w:rPr>
          <w:rFonts w:hint="eastAsia" w:ascii="宋体" w:hAnsi="宋体" w:cs="宋体"/>
          <w:color w:val="000000"/>
          <w:szCs w:val="21"/>
        </w:rPr>
        <w:t>0至晚</w:t>
      </w:r>
      <w:r>
        <w:rPr>
          <w:rFonts w:hint="eastAsia" w:ascii="宋体" w:hAnsi="宋体" w:cs="宋体"/>
          <w:color w:val="000000"/>
          <w:szCs w:val="21"/>
          <w:lang w:val="en-US" w:eastAsia="zh-CN"/>
        </w:rPr>
        <w:t>18</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0的早、午、晚餐等工作餐供应，同时承担招待餐、会议用餐、风味小吃、熟食外卖、</w:t>
      </w:r>
      <w:r>
        <w:rPr>
          <w:rFonts w:hint="eastAsia" w:ascii="宋体" w:hAnsi="宋体" w:cs="宋体"/>
          <w:szCs w:val="21"/>
        </w:rPr>
        <w:t>延伸服务和其他临时安排的就餐任务。</w:t>
      </w:r>
    </w:p>
    <w:p w14:paraId="7FF85A49">
      <w:pPr>
        <w:spacing w:line="360" w:lineRule="auto"/>
        <w:ind w:firstLine="420" w:firstLineChars="200"/>
        <w:rPr>
          <w:rFonts w:hint="eastAsia" w:ascii="宋体" w:hAnsi="宋体" w:cs="宋体"/>
          <w:szCs w:val="21"/>
        </w:rPr>
      </w:pPr>
      <w:r>
        <w:rPr>
          <w:rFonts w:hint="eastAsia" w:ascii="宋体" w:hAnsi="宋体" w:cs="宋体"/>
          <w:szCs w:val="21"/>
        </w:rPr>
        <w:t>2.运作模式：本项目所涉及的全部食堂目前均为职工福利性就餐食堂，不对外营业。采取的是管理服务费模式。乙方负责本项目所涉及的</w:t>
      </w:r>
      <w:r>
        <w:rPr>
          <w:rFonts w:hint="eastAsia" w:ascii="宋体" w:hAnsi="宋体" w:cs="宋体"/>
          <w:szCs w:val="21"/>
          <w:lang w:bidi="ar"/>
        </w:rPr>
        <w:t>团队建设与管理、</w:t>
      </w:r>
      <w:r>
        <w:rPr>
          <w:rFonts w:hint="eastAsia" w:ascii="宋体" w:hAnsi="宋体" w:cs="宋体"/>
          <w:szCs w:val="21"/>
        </w:rPr>
        <w:t>日常食品制作加工、宴会餐制作、会议餐制作、其他临时安排的餐饮制作任务及与餐饮服务相关的工作（包括工作日及节假日因</w:t>
      </w:r>
      <w:r>
        <w:rPr>
          <w:rFonts w:hint="eastAsia" w:ascii="宋体" w:hAnsi="宋体" w:cs="宋体"/>
          <w:bCs/>
          <w:szCs w:val="21"/>
          <w:lang w:bidi="ar"/>
        </w:rPr>
        <w:t>工</w:t>
      </w:r>
      <w:r>
        <w:rPr>
          <w:rFonts w:hint="eastAsia" w:ascii="宋体" w:hAnsi="宋体" w:cs="宋体"/>
          <w:szCs w:val="21"/>
        </w:rPr>
        <w:t>用餐）。甲方</w:t>
      </w:r>
      <w:r>
        <w:rPr>
          <w:rFonts w:hint="eastAsia" w:ascii="宋体" w:hAnsi="宋体" w:cs="宋体"/>
          <w:szCs w:val="21"/>
          <w:lang w:val="en-US" w:eastAsia="zh-CN"/>
        </w:rPr>
        <w:t>负责</w:t>
      </w:r>
      <w:r>
        <w:rPr>
          <w:rFonts w:hint="eastAsia" w:ascii="宋体" w:hAnsi="宋体" w:cs="宋体"/>
          <w:b w:val="0"/>
          <w:bCs/>
          <w:szCs w:val="21"/>
          <w:lang w:bidi="ar"/>
        </w:rPr>
        <w:t>厨具设备的保养维护和烟道清洗；餐具清洗消毒；食堂和操作间相关区域内的卫生保洁、垃圾清运、灭鼠灭蝇灭蟑、防火防盗、安全管理、客户咨询投诉处理和回访</w:t>
      </w:r>
      <w:r>
        <w:rPr>
          <w:rFonts w:hint="eastAsia" w:ascii="宋体" w:hAnsi="宋体" w:cs="宋体"/>
          <w:b w:val="0"/>
          <w:bCs/>
          <w:szCs w:val="21"/>
          <w:lang w:val="en-US" w:eastAsia="zh-CN" w:bidi="ar"/>
        </w:rPr>
        <w:t>等</w:t>
      </w:r>
      <w:r>
        <w:rPr>
          <w:rFonts w:hint="eastAsia" w:ascii="宋体" w:hAnsi="宋体" w:cs="宋体"/>
          <w:b w:val="0"/>
          <w:bCs/>
          <w:szCs w:val="21"/>
          <w:lang w:bidi="ar"/>
        </w:rPr>
        <w:t>工作</w:t>
      </w:r>
      <w:r>
        <w:rPr>
          <w:rFonts w:hint="eastAsia" w:ascii="宋体" w:hAnsi="宋体" w:cs="宋体"/>
          <w:b w:val="0"/>
          <w:bCs/>
          <w:szCs w:val="21"/>
          <w:lang w:eastAsia="zh-CN" w:bidi="ar"/>
        </w:rPr>
        <w:t>，</w:t>
      </w:r>
      <w:r>
        <w:rPr>
          <w:rFonts w:hint="eastAsia" w:ascii="宋体" w:hAnsi="宋体" w:cs="宋体"/>
          <w:b w:val="0"/>
          <w:bCs/>
          <w:szCs w:val="21"/>
          <w:lang w:val="en-US" w:eastAsia="zh-CN" w:bidi="ar"/>
        </w:rPr>
        <w:t>并对乙方</w:t>
      </w:r>
      <w:r>
        <w:rPr>
          <w:rFonts w:hint="eastAsia" w:ascii="宋体" w:hAnsi="宋体" w:cs="宋体"/>
          <w:szCs w:val="21"/>
        </w:rPr>
        <w:t>进行服务质量、安全管理的监督检查，并按月支付</w:t>
      </w:r>
      <w:r>
        <w:rPr>
          <w:rFonts w:hint="eastAsia" w:ascii="宋体" w:hAnsi="宋体" w:cs="宋体"/>
          <w:szCs w:val="21"/>
          <w:lang w:val="en-US" w:eastAsia="zh-CN"/>
        </w:rPr>
        <w:t>管理服务费</w:t>
      </w:r>
      <w:r>
        <w:rPr>
          <w:rFonts w:hint="eastAsia" w:ascii="宋体" w:hAnsi="宋体" w:cs="宋体"/>
          <w:szCs w:val="21"/>
        </w:rPr>
        <w:t>。</w:t>
      </w:r>
    </w:p>
    <w:p w14:paraId="6F7F7688">
      <w:pPr>
        <w:spacing w:line="360" w:lineRule="auto"/>
        <w:ind w:firstLine="420" w:firstLineChars="200"/>
        <w:rPr>
          <w:rFonts w:hint="eastAsia" w:ascii="宋体" w:hAnsi="宋体" w:cs="宋体"/>
          <w:szCs w:val="21"/>
        </w:rPr>
      </w:pPr>
      <w:r>
        <w:rPr>
          <w:rFonts w:hint="eastAsia" w:ascii="宋体" w:hAnsi="宋体" w:cs="宋体"/>
          <w:szCs w:val="21"/>
        </w:rPr>
        <w:t>3.甲方提供给乙方管理服务的食堂，地址1位于海淀区首体南路2号</w:t>
      </w:r>
      <w:r>
        <w:rPr>
          <w:rFonts w:hint="eastAsia" w:ascii="宋体" w:hAnsi="宋体" w:cs="宋体"/>
          <w:szCs w:val="21"/>
          <w:lang w:eastAsia="zh-CN"/>
        </w:rPr>
        <w:t>、</w:t>
      </w:r>
      <w:r>
        <w:rPr>
          <w:rFonts w:hint="eastAsia" w:ascii="宋体" w:hAnsi="宋体" w:cs="宋体"/>
          <w:szCs w:val="21"/>
        </w:rPr>
        <w:t>地址2位于怀柔区乐园南二街东段1号。</w:t>
      </w:r>
    </w:p>
    <w:p w14:paraId="673C820D">
      <w:pPr>
        <w:spacing w:line="360" w:lineRule="auto"/>
        <w:ind w:firstLine="422" w:firstLineChars="200"/>
        <w:rPr>
          <w:rFonts w:hint="eastAsia" w:ascii="宋体" w:hAnsi="宋体"/>
          <w:b/>
          <w:szCs w:val="21"/>
        </w:rPr>
      </w:pPr>
      <w:r>
        <w:rPr>
          <w:rFonts w:hint="eastAsia" w:ascii="宋体" w:hAnsi="宋体"/>
          <w:b/>
          <w:szCs w:val="21"/>
        </w:rPr>
        <w:t>第二条 食堂经营管理期限</w:t>
      </w:r>
    </w:p>
    <w:p w14:paraId="54E52761">
      <w:pPr>
        <w:spacing w:line="360" w:lineRule="auto"/>
        <w:ind w:firstLine="420" w:firstLineChars="200"/>
        <w:rPr>
          <w:rFonts w:hint="eastAsia" w:ascii="宋体" w:hAnsi="宋体" w:cs="宋体"/>
          <w:szCs w:val="21"/>
        </w:rPr>
      </w:pPr>
      <w:r>
        <w:rPr>
          <w:rFonts w:hint="eastAsia" w:ascii="宋体" w:hAnsi="宋体" w:cs="宋体"/>
          <w:szCs w:val="21"/>
        </w:rPr>
        <w:t>本合同期限为1年，自202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日起至202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日止。合同期限届满前60天，经甲方书面同意，合同期限可延长1年，至202</w:t>
      </w:r>
      <w:r>
        <w:rPr>
          <w:rFonts w:hint="eastAsia" w:ascii="宋体" w:hAnsi="宋体" w:cs="宋体"/>
          <w:szCs w:val="21"/>
          <w:lang w:val="en-US" w:eastAsia="zh-CN"/>
        </w:rPr>
        <w:t>7</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日止。</w:t>
      </w:r>
    </w:p>
    <w:p w14:paraId="6537A2CC">
      <w:pPr>
        <w:spacing w:line="360" w:lineRule="auto"/>
        <w:ind w:firstLine="422" w:firstLineChars="200"/>
        <w:rPr>
          <w:rFonts w:hint="eastAsia" w:ascii="宋体" w:hAnsi="宋体"/>
          <w:b/>
          <w:szCs w:val="21"/>
        </w:rPr>
      </w:pPr>
      <w:r>
        <w:rPr>
          <w:rFonts w:hint="eastAsia" w:ascii="宋体" w:hAnsi="宋体"/>
          <w:b/>
          <w:szCs w:val="21"/>
        </w:rPr>
        <w:t>第三条 服务内容</w:t>
      </w:r>
    </w:p>
    <w:p w14:paraId="7BB23D75">
      <w:pPr>
        <w:adjustRightInd w:val="0"/>
        <w:spacing w:line="360" w:lineRule="auto"/>
        <w:ind w:firstLine="420" w:firstLineChars="200"/>
        <w:rPr>
          <w:rFonts w:hint="eastAsia" w:ascii="宋体" w:hAnsi="宋体" w:cs="宋体"/>
          <w:b w:val="0"/>
          <w:bCs/>
          <w:szCs w:val="21"/>
          <w:lang w:bidi="ar"/>
        </w:rPr>
      </w:pPr>
      <w:r>
        <w:rPr>
          <w:rFonts w:hint="eastAsia" w:ascii="宋体" w:hAnsi="宋体" w:cs="宋体"/>
          <w:b w:val="0"/>
          <w:bCs/>
          <w:szCs w:val="21"/>
          <w:lang w:val="en-US" w:eastAsia="zh-CN" w:bidi="ar"/>
        </w:rPr>
        <w:t>1.工作日早餐</w:t>
      </w:r>
      <w:r>
        <w:rPr>
          <w:rFonts w:hint="eastAsia" w:ascii="宋体" w:hAnsi="宋体" w:cs="宋体"/>
          <w:b w:val="0"/>
          <w:bCs/>
          <w:szCs w:val="21"/>
          <w:lang w:bidi="ar"/>
        </w:rPr>
        <w:t>：</w:t>
      </w:r>
    </w:p>
    <w:p w14:paraId="0953D86E">
      <w:pPr>
        <w:spacing w:line="360" w:lineRule="auto"/>
        <w:ind w:firstLine="420" w:firstLineChars="200"/>
        <w:rPr>
          <w:rFonts w:hint="eastAsia" w:ascii="宋体" w:hAnsi="宋体" w:eastAsia="宋体"/>
          <w:b w:val="0"/>
          <w:bCs/>
          <w:szCs w:val="21"/>
          <w:lang w:val="en-US" w:eastAsia="zh-CN"/>
        </w:rPr>
      </w:pPr>
      <w:r>
        <w:rPr>
          <w:rFonts w:hint="eastAsia" w:ascii="宋体" w:hAnsi="宋体"/>
          <w:b w:val="0"/>
          <w:bCs/>
          <w:szCs w:val="21"/>
        </w:rPr>
        <w:t>就餐模式：</w:t>
      </w:r>
      <w:r>
        <w:rPr>
          <w:rFonts w:hint="eastAsia" w:ascii="宋体" w:hAnsi="宋体"/>
          <w:b w:val="0"/>
          <w:bCs/>
          <w:szCs w:val="21"/>
          <w:lang w:val="en-US" w:eastAsia="zh-CN"/>
        </w:rPr>
        <w:t>零点</w:t>
      </w:r>
    </w:p>
    <w:p w14:paraId="1851C02A">
      <w:pPr>
        <w:spacing w:line="360" w:lineRule="auto"/>
        <w:ind w:firstLine="420" w:firstLineChars="200"/>
        <w:rPr>
          <w:rFonts w:hint="eastAsia" w:ascii="宋体" w:hAnsi="宋体"/>
          <w:b w:val="0"/>
          <w:bCs/>
          <w:szCs w:val="21"/>
          <w:highlight w:val="none"/>
        </w:rPr>
      </w:pPr>
      <w:r>
        <w:rPr>
          <w:rFonts w:hint="eastAsia" w:ascii="宋体" w:hAnsi="宋体"/>
          <w:b w:val="0"/>
          <w:bCs/>
          <w:szCs w:val="21"/>
        </w:rPr>
        <w:t>每餐种类最低要求：</w:t>
      </w:r>
      <w:r>
        <w:rPr>
          <w:rFonts w:hint="eastAsia" w:ascii="宋体" w:hAnsi="宋体"/>
          <w:b w:val="0"/>
          <w:bCs/>
          <w:szCs w:val="21"/>
          <w:highlight w:val="none"/>
        </w:rPr>
        <w:t>凉菜1荤1素，咸菜1种，主食8种，汤粥6种。</w:t>
      </w:r>
    </w:p>
    <w:p w14:paraId="354FE5D1">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2.工作日</w:t>
      </w:r>
      <w:r>
        <w:rPr>
          <w:rFonts w:hint="eastAsia" w:ascii="宋体" w:hAnsi="宋体"/>
          <w:b w:val="0"/>
          <w:bCs/>
          <w:szCs w:val="21"/>
          <w:highlight w:val="none"/>
        </w:rPr>
        <w:t>午</w:t>
      </w:r>
      <w:r>
        <w:rPr>
          <w:rFonts w:hint="eastAsia" w:ascii="宋体" w:hAnsi="宋体"/>
          <w:b w:val="0"/>
          <w:bCs/>
          <w:szCs w:val="21"/>
          <w:highlight w:val="none"/>
          <w:lang w:val="en-US" w:eastAsia="zh-CN"/>
        </w:rPr>
        <w:t>晚</w:t>
      </w:r>
      <w:r>
        <w:rPr>
          <w:rFonts w:hint="eastAsia" w:ascii="宋体" w:hAnsi="宋体"/>
          <w:b w:val="0"/>
          <w:bCs/>
          <w:szCs w:val="21"/>
          <w:highlight w:val="none"/>
        </w:rPr>
        <w:t>餐：</w:t>
      </w:r>
    </w:p>
    <w:p w14:paraId="7E3DBA29">
      <w:pPr>
        <w:spacing w:line="360" w:lineRule="auto"/>
        <w:ind w:firstLine="420" w:firstLineChars="200"/>
        <w:rPr>
          <w:rFonts w:hint="default" w:ascii="宋体" w:hAnsi="宋体" w:eastAsia="宋体"/>
          <w:b w:val="0"/>
          <w:bCs/>
          <w:szCs w:val="21"/>
          <w:highlight w:val="none"/>
          <w:lang w:val="en-US" w:eastAsia="zh-CN"/>
        </w:rPr>
      </w:pPr>
      <w:r>
        <w:rPr>
          <w:rFonts w:hint="eastAsia" w:ascii="宋体" w:hAnsi="宋体"/>
          <w:b w:val="0"/>
          <w:bCs/>
          <w:szCs w:val="21"/>
          <w:highlight w:val="none"/>
        </w:rPr>
        <w:t>就餐模式：自助</w:t>
      </w:r>
      <w:r>
        <w:rPr>
          <w:rFonts w:hint="eastAsia" w:ascii="宋体" w:hAnsi="宋体"/>
          <w:b w:val="0"/>
          <w:bCs/>
          <w:szCs w:val="21"/>
          <w:highlight w:val="none"/>
          <w:lang w:val="en-US" w:eastAsia="zh-CN"/>
        </w:rPr>
        <w:t>称重和零点，</w:t>
      </w:r>
      <w:r>
        <w:rPr>
          <w:rFonts w:hint="eastAsia" w:ascii="宋体" w:hAnsi="宋体"/>
          <w:b w:val="0"/>
          <w:bCs/>
          <w:szCs w:val="21"/>
          <w:highlight w:val="none"/>
        </w:rPr>
        <w:t>其中自助</w:t>
      </w:r>
      <w:r>
        <w:rPr>
          <w:rFonts w:hint="eastAsia" w:ascii="宋体" w:hAnsi="宋体"/>
          <w:b w:val="0"/>
          <w:bCs/>
          <w:szCs w:val="21"/>
          <w:highlight w:val="none"/>
          <w:lang w:val="en-US" w:eastAsia="zh-CN"/>
        </w:rPr>
        <w:t>称重</w:t>
      </w:r>
      <w:r>
        <w:rPr>
          <w:rFonts w:hint="eastAsia" w:ascii="宋体" w:hAnsi="宋体"/>
          <w:b w:val="0"/>
          <w:bCs/>
          <w:szCs w:val="21"/>
          <w:highlight w:val="none"/>
        </w:rPr>
        <w:t>主要用于满足员工因</w:t>
      </w:r>
      <w:r>
        <w:rPr>
          <w:rFonts w:hint="eastAsia" w:ascii="宋体" w:hAnsi="宋体" w:cs="宋体"/>
          <w:b w:val="0"/>
          <w:bCs/>
          <w:szCs w:val="21"/>
          <w:highlight w:val="none"/>
          <w:lang w:bidi="ar"/>
        </w:rPr>
        <w:t>工</w:t>
      </w:r>
      <w:r>
        <w:rPr>
          <w:rFonts w:hint="eastAsia" w:ascii="宋体" w:hAnsi="宋体"/>
          <w:b w:val="0"/>
          <w:bCs/>
          <w:szCs w:val="21"/>
          <w:highlight w:val="none"/>
        </w:rPr>
        <w:t>用餐需求，其他人员用餐需要个人自费支付；零点模式供员工自费用餐，可打包外带。</w:t>
      </w:r>
    </w:p>
    <w:p w14:paraId="6A68F9B7">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rPr>
        <w:t>每餐种类最低要求：主荤菜2种，半荤菜2种，素菜2种，凉菜2种，主食5种，汤粥2种，水果1种，酸奶1种。</w:t>
      </w:r>
    </w:p>
    <w:p w14:paraId="0CC28B74">
      <w:pPr>
        <w:adjustRightIn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bidi="ar"/>
        </w:rPr>
        <w:t>3.</w:t>
      </w:r>
      <w:r>
        <w:rPr>
          <w:rFonts w:hint="eastAsia" w:ascii="宋体" w:hAnsi="宋体" w:cs="宋体"/>
          <w:b w:val="0"/>
          <w:bCs/>
          <w:szCs w:val="21"/>
          <w:lang w:bidi="ar"/>
        </w:rPr>
        <w:t>节假日、周末：供餐形式根据招标人要求执行。</w:t>
      </w:r>
    </w:p>
    <w:p w14:paraId="450E8386">
      <w:pPr>
        <w:adjustRightIn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bidi="ar"/>
        </w:rPr>
        <w:t>4.</w:t>
      </w:r>
      <w:r>
        <w:rPr>
          <w:rFonts w:hint="eastAsia" w:ascii="宋体" w:hAnsi="宋体" w:cs="宋体"/>
          <w:b w:val="0"/>
          <w:bCs/>
          <w:szCs w:val="21"/>
          <w:lang w:bidi="ar"/>
        </w:rPr>
        <w:t>外卖熟食：餐饮服务商每</w:t>
      </w:r>
      <w:r>
        <w:rPr>
          <w:rFonts w:hint="eastAsia" w:ascii="宋体" w:hAnsi="宋体" w:cs="宋体"/>
          <w:b w:val="0"/>
          <w:bCs/>
          <w:szCs w:val="21"/>
          <w:lang w:val="en-US" w:eastAsia="zh-CN" w:bidi="ar"/>
        </w:rPr>
        <w:t>周1个</w:t>
      </w:r>
      <w:r>
        <w:rPr>
          <w:rFonts w:hint="eastAsia" w:ascii="宋体" w:hAnsi="宋体" w:cs="宋体"/>
          <w:b w:val="0"/>
          <w:bCs/>
          <w:szCs w:val="21"/>
          <w:lang w:bidi="ar"/>
        </w:rPr>
        <w:t>工作日向员工提供外卖熟食。</w:t>
      </w:r>
    </w:p>
    <w:p w14:paraId="54FBCE87">
      <w:pPr>
        <w:adjustRightInd w:val="0"/>
        <w:spacing w:line="360" w:lineRule="auto"/>
        <w:ind w:firstLine="420" w:firstLineChars="200"/>
        <w:rPr>
          <w:rFonts w:hint="eastAsia" w:ascii="宋体" w:hAnsi="宋体" w:cs="宋体"/>
          <w:b w:val="0"/>
          <w:bCs/>
          <w:szCs w:val="21"/>
        </w:rPr>
      </w:pPr>
      <w:r>
        <w:rPr>
          <w:rFonts w:hint="eastAsia" w:ascii="宋体" w:hAnsi="宋体" w:cs="宋体"/>
          <w:b w:val="0"/>
          <w:bCs/>
          <w:szCs w:val="21"/>
          <w:lang w:val="en-US" w:eastAsia="zh-CN" w:bidi="ar"/>
        </w:rPr>
        <w:t>5.</w:t>
      </w:r>
      <w:r>
        <w:rPr>
          <w:rFonts w:hint="eastAsia" w:ascii="宋体" w:hAnsi="宋体" w:cs="宋体"/>
          <w:b w:val="0"/>
          <w:bCs/>
          <w:szCs w:val="21"/>
          <w:lang w:bidi="ar"/>
        </w:rPr>
        <w:t>食堂延伸服务：根据招标人要求执行。</w:t>
      </w:r>
    </w:p>
    <w:p w14:paraId="268AF1CE">
      <w:pPr>
        <w:adjustRightInd w:val="0"/>
        <w:spacing w:line="360" w:lineRule="auto"/>
        <w:ind w:firstLine="420" w:firstLineChars="200"/>
        <w:rPr>
          <w:rFonts w:hint="eastAsia" w:ascii="宋体" w:hAnsi="宋体" w:cs="宋体"/>
          <w:szCs w:val="21"/>
          <w:highlight w:val="none"/>
        </w:rPr>
      </w:pPr>
      <w:r>
        <w:rPr>
          <w:rFonts w:hint="eastAsia" w:ascii="宋体" w:hAnsi="宋体" w:cs="宋体"/>
          <w:b w:val="0"/>
          <w:bCs/>
          <w:szCs w:val="21"/>
          <w:highlight w:val="none"/>
          <w:lang w:val="en-US" w:eastAsia="zh-CN" w:bidi="ar"/>
        </w:rPr>
        <w:t>6.</w:t>
      </w:r>
      <w:r>
        <w:rPr>
          <w:rFonts w:hint="eastAsia" w:ascii="宋体" w:hAnsi="宋体" w:cs="宋体"/>
          <w:b w:val="0"/>
          <w:bCs/>
          <w:szCs w:val="21"/>
          <w:highlight w:val="none"/>
          <w:lang w:bidi="ar"/>
        </w:rPr>
        <w:t>招待餐：采取自助餐或者</w:t>
      </w:r>
      <w:r>
        <w:rPr>
          <w:rFonts w:hint="eastAsia" w:ascii="宋体" w:hAnsi="宋体" w:cs="宋体"/>
          <w:szCs w:val="21"/>
          <w:highlight w:val="none"/>
          <w:lang w:bidi="ar"/>
        </w:rPr>
        <w:t>包桌订餐两种方式。</w:t>
      </w:r>
    </w:p>
    <w:p w14:paraId="2AAEF489">
      <w:pPr>
        <w:adjustRightInd w:val="0"/>
        <w:spacing w:line="360" w:lineRule="auto"/>
        <w:ind w:firstLine="420" w:firstLineChars="200"/>
        <w:rPr>
          <w:rFonts w:hint="eastAsia" w:ascii="宋体" w:hAnsi="宋体" w:cs="宋体"/>
          <w:szCs w:val="21"/>
        </w:rPr>
      </w:pPr>
      <w:r>
        <w:rPr>
          <w:rFonts w:hint="eastAsia" w:ascii="宋体" w:hAnsi="宋体" w:cs="宋体"/>
          <w:szCs w:val="21"/>
          <w:lang w:val="en-US" w:eastAsia="zh-CN" w:bidi="ar"/>
        </w:rPr>
        <w:t>7.</w:t>
      </w:r>
      <w:r>
        <w:rPr>
          <w:rFonts w:hint="eastAsia" w:ascii="宋体" w:hAnsi="宋体" w:cs="宋体"/>
          <w:szCs w:val="21"/>
          <w:lang w:bidi="ar"/>
        </w:rPr>
        <w:t>各种零点、小炒、招待餐、商务餐、外卖熟食、茶点、轻食服务、食堂延伸服务等</w:t>
      </w:r>
      <w:r>
        <w:rPr>
          <w:rFonts w:hint="eastAsia" w:ascii="宋体" w:hAnsi="宋体" w:cs="宋体"/>
          <w:bCs/>
          <w:szCs w:val="21"/>
          <w:lang w:bidi="ar"/>
        </w:rPr>
        <w:t>以投标人成本价出售，价格需经招标人审核确定。</w:t>
      </w:r>
    </w:p>
    <w:p w14:paraId="2FB1D6F2">
      <w:pPr>
        <w:spacing w:line="360" w:lineRule="auto"/>
        <w:ind w:firstLine="422" w:firstLineChars="200"/>
        <w:rPr>
          <w:rFonts w:hint="eastAsia" w:ascii="宋体" w:hAnsi="宋体"/>
          <w:b/>
          <w:szCs w:val="21"/>
        </w:rPr>
      </w:pPr>
      <w:r>
        <w:rPr>
          <w:rFonts w:hint="eastAsia" w:ascii="宋体" w:hAnsi="宋体"/>
          <w:b/>
          <w:szCs w:val="21"/>
        </w:rPr>
        <w:t>第四条 餐饮服务标准</w:t>
      </w:r>
    </w:p>
    <w:p w14:paraId="40C88A3F">
      <w:pPr>
        <w:spacing w:line="360" w:lineRule="auto"/>
        <w:ind w:firstLine="420" w:firstLineChars="200"/>
        <w:rPr>
          <w:rFonts w:hint="eastAsia" w:ascii="宋体" w:hAnsi="宋体"/>
          <w:szCs w:val="21"/>
        </w:rPr>
      </w:pPr>
      <w:r>
        <w:rPr>
          <w:rFonts w:hint="eastAsia" w:ascii="宋体" w:hAnsi="宋体" w:cs="宋体"/>
          <w:szCs w:val="21"/>
          <w:lang w:val="zh-CN" w:bidi="ar"/>
        </w:rPr>
        <w:t>1.乙方应提供安全、卫生、健康、营养、均衡、快捷、舒适的餐饮服务。</w:t>
      </w:r>
      <w:r>
        <w:rPr>
          <w:rFonts w:hint="eastAsia" w:ascii="宋体" w:hAnsi="宋体"/>
          <w:szCs w:val="21"/>
        </w:rPr>
        <w:t>安全上无隐患、零事故，营养上搭配合理、科学均衡，供餐上品种齐全、无断餐，</w:t>
      </w:r>
      <w:r>
        <w:rPr>
          <w:rFonts w:hint="eastAsia" w:ascii="宋体" w:hAnsi="宋体" w:cs="宋体"/>
          <w:szCs w:val="21"/>
          <w:lang w:val="zh-CN" w:bidi="ar"/>
        </w:rPr>
        <w:t>注重色、香、味、美，做到饭熟菜香、新鲜可口、</w:t>
      </w:r>
      <w:r>
        <w:rPr>
          <w:rFonts w:hint="eastAsia" w:ascii="宋体" w:hAnsi="宋体"/>
          <w:szCs w:val="21"/>
        </w:rPr>
        <w:t>优质标准。</w:t>
      </w:r>
    </w:p>
    <w:p w14:paraId="0B436FF4">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甲方对乙方的考核指标包括但不限于：</w:t>
      </w:r>
    </w:p>
    <w:p w14:paraId="34964DAE">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就餐人员对餐饮服务的满意率在80%以上；</w:t>
      </w:r>
    </w:p>
    <w:p w14:paraId="580DF938">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食源性疾患发生率为零；</w:t>
      </w:r>
    </w:p>
    <w:p w14:paraId="75E4656F">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食谱执行率大于95%；</w:t>
      </w:r>
    </w:p>
    <w:p w14:paraId="0A641B25">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食品加工服务正点率100%；</w:t>
      </w:r>
    </w:p>
    <w:p w14:paraId="4F45EE1D">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厨具、餐具洗刷洁净率100%；</w:t>
      </w:r>
    </w:p>
    <w:p w14:paraId="04FA3718">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餐具消毒检测合格率100%；</w:t>
      </w:r>
    </w:p>
    <w:p w14:paraId="53C854ED">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厨具、加工机械、食品冷藏和食品储藏设备的保养维护率100%；</w:t>
      </w:r>
    </w:p>
    <w:p w14:paraId="60CA0171">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设备运行完好率达到98%以上。</w:t>
      </w:r>
    </w:p>
    <w:p w14:paraId="72FBE41C">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2.主荤菜是以肉类或水产类原材料为主（肉类或水产类原材料比例不低于80%，辅料比例不高于20%），半荤菜是含有肉类或水产类原材料的菜品（肉或水产品原料比例不低于30%），素菜是不含肉类或水产类原材料的菜品。各类经外部精加工形成的鱼糜、肉糜类制品、蟹棒、淀粉肠、丸子或类似工艺制成的产品等不得视为上述主荤菜或半荤菜类中的肉或水产品主料，仅可以视为辅料。</w:t>
      </w:r>
    </w:p>
    <w:p w14:paraId="5B5E3315">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3.提供营养配餐，突出绿色、健康意识，综合考虑食品营养健康，每天每人摄入食盐不超过5克，烹调油25克-30克，糖不超过25克。</w:t>
      </w:r>
    </w:p>
    <w:p w14:paraId="2996D140">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4.乙方应制定出菜时间表，饭菜现做现吃、少炒勤炒，保证菜品色、香、味和温度。</w:t>
      </w:r>
      <w:r>
        <w:rPr>
          <w:rFonts w:hint="eastAsia" w:ascii="宋体" w:hAnsi="宋体" w:cs="宋体"/>
          <w:szCs w:val="21"/>
          <w:lang w:bidi="ar"/>
        </w:rPr>
        <w:t>乙方在冬季供餐时应尤其注意餐品的保温。</w:t>
      </w:r>
      <w:r>
        <w:rPr>
          <w:rFonts w:hint="eastAsia" w:ascii="宋体" w:hAnsi="宋体" w:cs="宋体"/>
          <w:szCs w:val="21"/>
          <w:lang w:val="zh-CN" w:bidi="ar"/>
        </w:rPr>
        <w:t>食堂三餐均应提供各种风味小吃及部分西餐品种。</w:t>
      </w:r>
    </w:p>
    <w:p w14:paraId="344B9827">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5.乙方每天开辟专区提供特色小炒服务，满足员工的口味需求。</w:t>
      </w:r>
    </w:p>
    <w:p w14:paraId="458E29BF">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6.提供清真餐饮服务。</w:t>
      </w:r>
    </w:p>
    <w:p w14:paraId="5581EC12">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7.乙方各种零点、小炒、招待餐、商务餐、外卖熟食、茶点、轻食服务、食堂延伸服务等以乙方成本价出售，价格需经甲方审核确定。</w:t>
      </w:r>
    </w:p>
    <w:p w14:paraId="7FAF5CFB">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8.每年应组织不少于12次的美食节活动（平均每月一次），在重大节日和民族节日期间，提供免费的时令小吃，悬挂节日饰品，让客人感受到温馨、和谐的氛围。</w:t>
      </w:r>
    </w:p>
    <w:p w14:paraId="43B0A3A2">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9.根据需求，承接宴会和接待用餐，并提供具有个性化的服务。</w:t>
      </w:r>
    </w:p>
    <w:p w14:paraId="77C1F1A5">
      <w:pPr>
        <w:spacing w:line="360" w:lineRule="auto"/>
        <w:ind w:firstLine="420" w:firstLineChars="200"/>
        <w:rPr>
          <w:rFonts w:hint="eastAsia" w:ascii="宋体" w:hAnsi="宋体"/>
          <w:szCs w:val="21"/>
        </w:rPr>
      </w:pPr>
      <w:r>
        <w:rPr>
          <w:rFonts w:hint="eastAsia" w:ascii="宋体" w:hAnsi="宋体" w:cs="宋体"/>
          <w:szCs w:val="21"/>
          <w:lang w:val="zh-CN" w:bidi="ar"/>
        </w:rPr>
        <w:t>10.</w:t>
      </w:r>
      <w:r>
        <w:rPr>
          <w:rFonts w:hint="eastAsia" w:ascii="宋体" w:hAnsi="宋体"/>
          <w:szCs w:val="21"/>
        </w:rPr>
        <w:t>菜式品种应经常轮换，菜品要求每周80%不重样，并由乙方提前一周将菜单交给甲方相关管理人员审核，并于每周工作日开始前应及时发布当周食堂菜单。所有餐次的膳食可根据甲方需求，及时协商进行调整。</w:t>
      </w:r>
    </w:p>
    <w:p w14:paraId="4957E703">
      <w:pPr>
        <w:adjustRightInd w:val="0"/>
        <w:spacing w:line="360" w:lineRule="auto"/>
        <w:ind w:firstLine="420" w:firstLineChars="200"/>
        <w:rPr>
          <w:rFonts w:hint="eastAsia" w:ascii="宋体" w:hAnsi="宋体" w:cs="宋体"/>
          <w:szCs w:val="21"/>
          <w:lang w:val="zh-CN" w:bidi="ar"/>
        </w:rPr>
      </w:pPr>
      <w:r>
        <w:rPr>
          <w:rFonts w:hint="eastAsia" w:ascii="宋体" w:hAnsi="宋体" w:cs="宋体"/>
          <w:szCs w:val="21"/>
          <w:lang w:val="zh-CN" w:bidi="ar"/>
        </w:rPr>
        <w:t>11.充分利用自有资源，根据员工的需求，调集名家、特色厨师，提供不同风味的美食佳肴；根据甲方需求，乙方需具备厨师轮换能力。</w:t>
      </w:r>
    </w:p>
    <w:p w14:paraId="3BAD1F55">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val="zh-CN" w:bidi="ar"/>
        </w:rPr>
        <w:t>12.每个</w:t>
      </w:r>
      <w:r>
        <w:rPr>
          <w:rFonts w:hint="eastAsia" w:ascii="宋体" w:hAnsi="宋体" w:cs="宋体"/>
          <w:szCs w:val="21"/>
          <w:lang w:bidi="ar"/>
        </w:rPr>
        <w:t>工作日提供酱、烤、烧、腌、蒸等成品、半成品食物，面向甲方内部员工或指定单位员工销售。</w:t>
      </w:r>
    </w:p>
    <w:p w14:paraId="2A5696AC">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13.保持卫生洁净的就餐环境。餐前先通风，保持空气清新、无异味。室内温度根据实际天气情况调整，保持室内合适温度，一般保持在18-26℃左右。</w:t>
      </w:r>
    </w:p>
    <w:p w14:paraId="032A3DAF">
      <w:pPr>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bidi="ar"/>
        </w:rPr>
        <w:t>14.乙方需要具有应急管理及支援能力，应急人员需在30分钟内到达。</w:t>
      </w:r>
    </w:p>
    <w:p w14:paraId="33224E8F">
      <w:pPr>
        <w:spacing w:line="360" w:lineRule="auto"/>
        <w:ind w:firstLine="422" w:firstLineChars="200"/>
        <w:rPr>
          <w:rFonts w:hint="eastAsia" w:ascii="宋体" w:hAnsi="宋体"/>
          <w:b/>
          <w:szCs w:val="21"/>
        </w:rPr>
      </w:pPr>
      <w:r>
        <w:rPr>
          <w:rFonts w:hint="eastAsia" w:ascii="宋体" w:hAnsi="宋体"/>
          <w:b/>
          <w:szCs w:val="21"/>
        </w:rPr>
        <w:t>第五条 用餐标准（以下餐饮费指纯食材物料成本费）</w:t>
      </w:r>
    </w:p>
    <w:p w14:paraId="5646A578">
      <w:pPr>
        <w:adjustRightInd w:val="0"/>
        <w:spacing w:line="360" w:lineRule="auto"/>
        <w:ind w:firstLine="420" w:firstLineChars="200"/>
        <w:rPr>
          <w:rFonts w:hint="eastAsia" w:ascii="宋体" w:hAnsi="宋体" w:cs="宋体"/>
          <w:b w:val="0"/>
          <w:bCs/>
          <w:szCs w:val="21"/>
          <w:lang w:bidi="ar"/>
        </w:rPr>
      </w:pPr>
      <w:r>
        <w:rPr>
          <w:rFonts w:hint="eastAsia" w:ascii="宋体" w:hAnsi="宋体" w:cs="宋体"/>
          <w:b w:val="0"/>
          <w:bCs/>
          <w:szCs w:val="21"/>
          <w:lang w:val="en-US" w:eastAsia="zh-CN" w:bidi="ar"/>
        </w:rPr>
        <w:t>1.工作日早餐</w:t>
      </w:r>
      <w:r>
        <w:rPr>
          <w:rFonts w:hint="eastAsia" w:ascii="宋体" w:hAnsi="宋体" w:cs="宋体"/>
          <w:b w:val="0"/>
          <w:bCs/>
          <w:szCs w:val="21"/>
          <w:lang w:bidi="ar"/>
        </w:rPr>
        <w:t>：</w:t>
      </w:r>
    </w:p>
    <w:p w14:paraId="6F46130A">
      <w:pPr>
        <w:spacing w:line="360" w:lineRule="auto"/>
        <w:ind w:firstLine="420" w:firstLineChars="200"/>
        <w:rPr>
          <w:rFonts w:hint="eastAsia" w:ascii="宋体" w:hAnsi="宋体" w:eastAsia="宋体"/>
          <w:b w:val="0"/>
          <w:bCs/>
          <w:szCs w:val="21"/>
          <w:lang w:val="en-US" w:eastAsia="zh-CN"/>
        </w:rPr>
      </w:pPr>
      <w:r>
        <w:rPr>
          <w:rFonts w:hint="eastAsia" w:ascii="宋体" w:hAnsi="宋体"/>
          <w:b w:val="0"/>
          <w:bCs/>
          <w:szCs w:val="21"/>
        </w:rPr>
        <w:t>就餐模式：</w:t>
      </w:r>
      <w:r>
        <w:rPr>
          <w:rFonts w:hint="eastAsia" w:ascii="宋体" w:hAnsi="宋体"/>
          <w:b w:val="0"/>
          <w:bCs/>
          <w:szCs w:val="21"/>
          <w:lang w:val="en-US" w:eastAsia="zh-CN"/>
        </w:rPr>
        <w:t>零点</w:t>
      </w:r>
    </w:p>
    <w:p w14:paraId="728B465E">
      <w:pPr>
        <w:spacing w:line="360" w:lineRule="auto"/>
        <w:ind w:firstLine="420" w:firstLineChars="200"/>
        <w:rPr>
          <w:rFonts w:hint="eastAsia" w:ascii="宋体" w:hAnsi="宋体"/>
          <w:b w:val="0"/>
          <w:bCs/>
          <w:szCs w:val="21"/>
          <w:highlight w:val="none"/>
        </w:rPr>
      </w:pPr>
      <w:r>
        <w:rPr>
          <w:rFonts w:hint="eastAsia" w:ascii="宋体" w:hAnsi="宋体"/>
          <w:b w:val="0"/>
          <w:bCs/>
          <w:szCs w:val="21"/>
        </w:rPr>
        <w:t>每餐种类最低要求：</w:t>
      </w:r>
      <w:r>
        <w:rPr>
          <w:rFonts w:hint="eastAsia" w:ascii="宋体" w:hAnsi="宋体"/>
          <w:b w:val="0"/>
          <w:bCs/>
          <w:szCs w:val="21"/>
          <w:highlight w:val="none"/>
        </w:rPr>
        <w:t>凉菜1荤1素，咸菜1种，主食8种，汤粥6种。</w:t>
      </w:r>
    </w:p>
    <w:p w14:paraId="04199A47">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2.工作日</w:t>
      </w:r>
      <w:r>
        <w:rPr>
          <w:rFonts w:hint="eastAsia" w:ascii="宋体" w:hAnsi="宋体"/>
          <w:b w:val="0"/>
          <w:bCs/>
          <w:szCs w:val="21"/>
          <w:highlight w:val="none"/>
        </w:rPr>
        <w:t>午</w:t>
      </w:r>
      <w:r>
        <w:rPr>
          <w:rFonts w:hint="eastAsia" w:ascii="宋体" w:hAnsi="宋体"/>
          <w:b w:val="0"/>
          <w:bCs/>
          <w:szCs w:val="21"/>
          <w:highlight w:val="none"/>
          <w:lang w:val="en-US" w:eastAsia="zh-CN"/>
        </w:rPr>
        <w:t>晚</w:t>
      </w:r>
      <w:r>
        <w:rPr>
          <w:rFonts w:hint="eastAsia" w:ascii="宋体" w:hAnsi="宋体"/>
          <w:b w:val="0"/>
          <w:bCs/>
          <w:szCs w:val="21"/>
          <w:highlight w:val="none"/>
        </w:rPr>
        <w:t>餐：</w:t>
      </w:r>
    </w:p>
    <w:p w14:paraId="456ECE84">
      <w:pPr>
        <w:spacing w:line="360" w:lineRule="auto"/>
        <w:ind w:firstLine="420" w:firstLineChars="200"/>
        <w:rPr>
          <w:rFonts w:hint="default" w:ascii="宋体" w:hAnsi="宋体" w:eastAsia="宋体"/>
          <w:b w:val="0"/>
          <w:bCs/>
          <w:szCs w:val="21"/>
          <w:highlight w:val="none"/>
          <w:lang w:val="en-US" w:eastAsia="zh-CN"/>
        </w:rPr>
      </w:pPr>
      <w:r>
        <w:rPr>
          <w:rFonts w:hint="eastAsia" w:ascii="宋体" w:hAnsi="宋体"/>
          <w:b w:val="0"/>
          <w:bCs/>
          <w:szCs w:val="21"/>
          <w:highlight w:val="none"/>
        </w:rPr>
        <w:t>就餐模式：自助</w:t>
      </w:r>
      <w:r>
        <w:rPr>
          <w:rFonts w:hint="eastAsia" w:ascii="宋体" w:hAnsi="宋体"/>
          <w:b w:val="0"/>
          <w:bCs/>
          <w:szCs w:val="21"/>
          <w:highlight w:val="none"/>
          <w:lang w:val="en-US" w:eastAsia="zh-CN"/>
        </w:rPr>
        <w:t>称重和零点，</w:t>
      </w:r>
      <w:r>
        <w:rPr>
          <w:rFonts w:hint="eastAsia" w:ascii="宋体" w:hAnsi="宋体"/>
          <w:b w:val="0"/>
          <w:bCs/>
          <w:szCs w:val="21"/>
          <w:highlight w:val="none"/>
        </w:rPr>
        <w:t>其中自助</w:t>
      </w:r>
      <w:r>
        <w:rPr>
          <w:rFonts w:hint="eastAsia" w:ascii="宋体" w:hAnsi="宋体"/>
          <w:b w:val="0"/>
          <w:bCs/>
          <w:szCs w:val="21"/>
          <w:highlight w:val="none"/>
          <w:lang w:val="en-US" w:eastAsia="zh-CN"/>
        </w:rPr>
        <w:t>称重</w:t>
      </w:r>
      <w:r>
        <w:rPr>
          <w:rFonts w:hint="eastAsia" w:ascii="宋体" w:hAnsi="宋体"/>
          <w:b w:val="0"/>
          <w:bCs/>
          <w:szCs w:val="21"/>
          <w:highlight w:val="none"/>
        </w:rPr>
        <w:t>主要用于满足员工因</w:t>
      </w:r>
      <w:r>
        <w:rPr>
          <w:rFonts w:hint="eastAsia" w:ascii="宋体" w:hAnsi="宋体" w:cs="宋体"/>
          <w:b w:val="0"/>
          <w:bCs/>
          <w:szCs w:val="21"/>
          <w:highlight w:val="none"/>
          <w:lang w:bidi="ar"/>
        </w:rPr>
        <w:t>工</w:t>
      </w:r>
      <w:r>
        <w:rPr>
          <w:rFonts w:hint="eastAsia" w:ascii="宋体" w:hAnsi="宋体"/>
          <w:b w:val="0"/>
          <w:bCs/>
          <w:szCs w:val="21"/>
          <w:highlight w:val="none"/>
        </w:rPr>
        <w:t>用餐需求，其他人员用餐需要个人自费支付；零点模式供员工自费用餐，可打包外带。</w:t>
      </w:r>
    </w:p>
    <w:p w14:paraId="20297597">
      <w:pPr>
        <w:spacing w:line="360" w:lineRule="auto"/>
        <w:ind w:firstLine="420" w:firstLineChars="200"/>
        <w:rPr>
          <w:rFonts w:hint="eastAsia" w:ascii="宋体" w:hAnsi="宋体"/>
          <w:b w:val="0"/>
          <w:bCs/>
          <w:szCs w:val="21"/>
          <w:highlight w:val="none"/>
        </w:rPr>
      </w:pPr>
      <w:r>
        <w:rPr>
          <w:rFonts w:hint="eastAsia" w:ascii="宋体" w:hAnsi="宋体"/>
          <w:b w:val="0"/>
          <w:bCs/>
          <w:szCs w:val="21"/>
          <w:highlight w:val="none"/>
        </w:rPr>
        <w:t>每餐种类最低要求：主荤菜2种，半荤菜2种，素菜2种，凉菜2种，主食5种，汤粥2种，水果1种，酸奶1种。</w:t>
      </w:r>
    </w:p>
    <w:p w14:paraId="215D1F60">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接待餐、会议餐：由招标人据实结算。</w:t>
      </w:r>
    </w:p>
    <w:p w14:paraId="5904BCDA">
      <w:pPr>
        <w:tabs>
          <w:tab w:val="left" w:pos="425"/>
        </w:tabs>
        <w:spacing w:line="360" w:lineRule="auto"/>
        <w:ind w:firstLine="420" w:firstLineChars="200"/>
        <w:rPr>
          <w:rFonts w:hint="eastAsia" w:ascii="宋体" w:hAnsi="宋体"/>
          <w:color w:val="FF0000"/>
          <w:szCs w:val="21"/>
        </w:rPr>
      </w:pPr>
      <w:r>
        <w:rPr>
          <w:rFonts w:hint="eastAsia" w:ascii="宋体" w:hAnsi="宋体"/>
          <w:szCs w:val="21"/>
        </w:rPr>
        <w:t>4.乙方要加强菜品创新，菜品要求每周80%不重样。</w:t>
      </w:r>
    </w:p>
    <w:p w14:paraId="5FF1B3A4">
      <w:pPr>
        <w:tabs>
          <w:tab w:val="left" w:pos="425"/>
        </w:tabs>
        <w:spacing w:line="360" w:lineRule="auto"/>
        <w:ind w:firstLine="420" w:firstLineChars="200"/>
        <w:rPr>
          <w:rFonts w:hint="eastAsia" w:ascii="宋体" w:hAnsi="宋体"/>
          <w:color w:val="FF0000"/>
          <w:szCs w:val="21"/>
        </w:rPr>
      </w:pPr>
      <w:r>
        <w:rPr>
          <w:rFonts w:hint="eastAsia" w:ascii="宋体" w:hAnsi="宋体"/>
          <w:szCs w:val="21"/>
        </w:rPr>
        <w:t>5.乙方要保证牛肉、猪肉、羊肉、鱼肉、虾肉、鸡肉、鸭肉等肉类菜品的均衡，尽量减少鸡、鸭肉菜品，要保证各类肉品的新鲜和质量。</w:t>
      </w:r>
    </w:p>
    <w:p w14:paraId="729A0EE7">
      <w:pPr>
        <w:tabs>
          <w:tab w:val="left" w:pos="425"/>
        </w:tabs>
        <w:spacing w:line="360" w:lineRule="auto"/>
        <w:ind w:firstLine="420" w:firstLineChars="200"/>
        <w:rPr>
          <w:rFonts w:hint="eastAsia" w:ascii="宋体" w:hAnsi="宋体"/>
          <w:color w:val="FF0000"/>
          <w:szCs w:val="21"/>
        </w:rPr>
      </w:pPr>
      <w:r>
        <w:rPr>
          <w:rFonts w:hint="eastAsia" w:ascii="宋体" w:hAnsi="宋体"/>
          <w:szCs w:val="21"/>
        </w:rPr>
        <w:t>6.如果甲方用餐标准有调整，甲方将书面通知。</w:t>
      </w:r>
    </w:p>
    <w:p w14:paraId="454B7CDA">
      <w:pPr>
        <w:tabs>
          <w:tab w:val="left" w:pos="425"/>
        </w:tabs>
        <w:spacing w:line="360" w:lineRule="auto"/>
        <w:ind w:firstLine="420" w:firstLineChars="200"/>
        <w:rPr>
          <w:rFonts w:hint="eastAsia" w:ascii="宋体" w:hAnsi="宋体"/>
          <w:color w:val="FF0000"/>
          <w:szCs w:val="21"/>
        </w:rPr>
      </w:pPr>
      <w:r>
        <w:rPr>
          <w:rFonts w:hint="eastAsia" w:ascii="宋体" w:hAnsi="宋体"/>
          <w:szCs w:val="21"/>
        </w:rPr>
        <w:t>7.招待餐服务：乙方根据甲方的要求和标准提供菜品制作和餐饮服务。</w:t>
      </w:r>
    </w:p>
    <w:p w14:paraId="1BA1C9F1">
      <w:pPr>
        <w:tabs>
          <w:tab w:val="left" w:pos="425"/>
        </w:tabs>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.节假日、周末工作餐：根据甲方制定的标准执行。</w:t>
      </w:r>
    </w:p>
    <w:p w14:paraId="3AC2F38B">
      <w:pPr>
        <w:tabs>
          <w:tab w:val="left" w:pos="425"/>
        </w:tabs>
        <w:spacing w:line="360" w:lineRule="auto"/>
        <w:ind w:firstLine="420" w:firstLineChars="200"/>
        <w:rPr>
          <w:rFonts w:hint="eastAsia" w:ascii="宋体" w:hAnsi="宋体"/>
          <w:color w:val="FF0000"/>
          <w:szCs w:val="21"/>
        </w:rPr>
      </w:pPr>
      <w:r>
        <w:rPr>
          <w:rFonts w:hint="eastAsia" w:ascii="宋体" w:hAnsi="宋体"/>
          <w:szCs w:val="21"/>
          <w:lang w:val="en-US" w:eastAsia="zh-CN"/>
        </w:rPr>
        <w:t>9</w:t>
      </w:r>
      <w:r>
        <w:rPr>
          <w:rFonts w:hint="eastAsia" w:ascii="宋体" w:hAnsi="宋体"/>
          <w:szCs w:val="21"/>
        </w:rPr>
        <w:t>.乙方应确保能够提供满足甲方</w:t>
      </w:r>
      <w:r>
        <w:rPr>
          <w:rFonts w:hint="eastAsia" w:ascii="宋体" w:hAnsi="宋体"/>
          <w:szCs w:val="21"/>
          <w:lang w:val="en-US" w:eastAsia="zh-CN"/>
        </w:rPr>
        <w:t>需要</w:t>
      </w:r>
      <w:r>
        <w:rPr>
          <w:rFonts w:hint="eastAsia" w:ascii="宋体" w:hAnsi="宋体"/>
          <w:szCs w:val="21"/>
        </w:rPr>
        <w:t>的各项餐饮服务。</w:t>
      </w:r>
    </w:p>
    <w:p w14:paraId="755733DB">
      <w:pPr>
        <w:spacing w:line="360" w:lineRule="auto"/>
        <w:ind w:firstLine="422" w:firstLineChars="200"/>
        <w:rPr>
          <w:rFonts w:hint="eastAsia" w:ascii="宋体" w:hAnsi="宋体"/>
          <w:b/>
          <w:szCs w:val="21"/>
        </w:rPr>
      </w:pPr>
      <w:r>
        <w:rPr>
          <w:rFonts w:hint="eastAsia" w:ascii="宋体" w:hAnsi="宋体"/>
          <w:b/>
          <w:szCs w:val="21"/>
        </w:rPr>
        <w:t>第六条 食品安全和饮食卫生</w:t>
      </w:r>
    </w:p>
    <w:p w14:paraId="42571981">
      <w:pPr>
        <w:spacing w:line="360" w:lineRule="auto"/>
        <w:ind w:firstLine="420" w:firstLineChars="200"/>
        <w:rPr>
          <w:rFonts w:hint="eastAsia" w:ascii="宋体" w:hAnsi="宋体"/>
          <w:szCs w:val="21"/>
        </w:rPr>
      </w:pPr>
      <w:r>
        <w:rPr>
          <w:rFonts w:hint="eastAsia" w:ascii="宋体" w:hAnsi="宋体"/>
          <w:szCs w:val="21"/>
        </w:rPr>
        <w:t>1.乙方应保证餐饮设备、食品、物料符合卫生防疫要求、消防要求和《食品卫生法》等法律、法规或行业标准。</w:t>
      </w:r>
    </w:p>
    <w:p w14:paraId="2D904033">
      <w:pPr>
        <w:spacing w:line="360" w:lineRule="auto"/>
        <w:ind w:firstLine="420" w:firstLineChars="200"/>
        <w:rPr>
          <w:rFonts w:hint="eastAsia" w:ascii="宋体" w:hAnsi="宋体"/>
          <w:szCs w:val="21"/>
        </w:rPr>
      </w:pPr>
      <w:r>
        <w:rPr>
          <w:rFonts w:hint="eastAsia" w:ascii="宋体" w:hAnsi="宋体"/>
          <w:szCs w:val="21"/>
        </w:rPr>
        <w:t>2.乙方须严格执行物料出、入库管理制度，领出的物料应及时使用和采取妥善的保存方法，杜绝浪费、流失和防止食品受二次污染。</w:t>
      </w:r>
    </w:p>
    <w:p w14:paraId="38272753">
      <w:pPr>
        <w:spacing w:line="360" w:lineRule="auto"/>
        <w:ind w:firstLine="422" w:firstLineChars="200"/>
        <w:rPr>
          <w:rFonts w:hint="eastAsia" w:ascii="宋体" w:hAnsi="宋体" w:eastAsia="宋体"/>
          <w:b/>
          <w:szCs w:val="21"/>
          <w:lang w:val="en-US" w:eastAsia="zh-CN"/>
        </w:rPr>
      </w:pPr>
      <w:r>
        <w:rPr>
          <w:rFonts w:hint="eastAsia" w:ascii="宋体" w:hAnsi="宋体"/>
          <w:b/>
          <w:szCs w:val="21"/>
        </w:rPr>
        <w:t xml:space="preserve">第七条 </w:t>
      </w:r>
      <w:r>
        <w:rPr>
          <w:rFonts w:hint="eastAsia" w:ascii="宋体" w:hAnsi="宋体"/>
          <w:b/>
          <w:szCs w:val="21"/>
          <w:lang w:val="en-US" w:eastAsia="zh-CN"/>
        </w:rPr>
        <w:t>费用</w:t>
      </w:r>
      <w:r>
        <w:rPr>
          <w:rFonts w:hint="eastAsia" w:ascii="宋体" w:hAnsi="宋体"/>
          <w:b/>
          <w:szCs w:val="21"/>
        </w:rPr>
        <w:t>及支付</w:t>
      </w:r>
      <w:r>
        <w:rPr>
          <w:rFonts w:hint="eastAsia" w:ascii="宋体" w:hAnsi="宋体"/>
          <w:b/>
          <w:szCs w:val="21"/>
          <w:lang w:val="en-US" w:eastAsia="zh-CN"/>
        </w:rPr>
        <w:t>方式</w:t>
      </w:r>
    </w:p>
    <w:p w14:paraId="0BF6EA61">
      <w:pPr>
        <w:spacing w:line="360" w:lineRule="auto"/>
        <w:ind w:firstLine="420" w:firstLineChars="200"/>
        <w:rPr>
          <w:rFonts w:hint="eastAsia" w:ascii="宋体" w:hAnsi="宋体"/>
          <w:b/>
          <w:szCs w:val="21"/>
        </w:rPr>
      </w:pPr>
      <w:r>
        <w:rPr>
          <w:rFonts w:hint="eastAsia" w:ascii="宋体" w:hAnsi="宋体"/>
          <w:szCs w:val="21"/>
        </w:rPr>
        <w:t>1.本合同约定的各项费用金额为含增值税价格，</w:t>
      </w:r>
      <w:r>
        <w:rPr>
          <w:rFonts w:hint="eastAsia" w:ascii="宋体" w:hAnsi="宋体" w:cs="华文楷体"/>
          <w:spacing w:val="-1"/>
          <w:szCs w:val="21"/>
        </w:rPr>
        <w:t>除经双方书面约定的情况外，乙方将不会在合同价款之外另行收取适用于该业务的增值税以及附加税费。合同执行期间，因政府财税部门对增值税政策调整的，增值税税额按调整后的税率执行，不含税价格不变，双方按不含税价格和调整后的增值税税额重新确定含增值税价格。</w:t>
      </w:r>
    </w:p>
    <w:p w14:paraId="0E63BEF6">
      <w:pPr>
        <w:spacing w:line="360" w:lineRule="auto"/>
        <w:ind w:firstLine="420" w:firstLineChars="200"/>
        <w:rPr>
          <w:rFonts w:hint="eastAsia" w:ascii="宋体" w:hAnsi="宋体"/>
          <w:szCs w:val="21"/>
        </w:rPr>
      </w:pPr>
      <w:r>
        <w:rPr>
          <w:rFonts w:hint="eastAsia" w:ascii="宋体" w:hAnsi="宋体"/>
          <w:szCs w:val="21"/>
        </w:rPr>
        <w:t>2.餐厅各项营业收入（如有）均归甲方所有。</w:t>
      </w:r>
    </w:p>
    <w:p w14:paraId="5093321A">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3.甲方向乙方支付餐饮服务费</w:t>
      </w:r>
      <w:r>
        <w:rPr>
          <w:rFonts w:hint="eastAsia" w:ascii="宋体" w:hAnsi="宋体"/>
          <w:szCs w:val="21"/>
        </w:rPr>
        <w:t>（单位：人民币元）</w:t>
      </w:r>
      <w:r>
        <w:rPr>
          <w:rFonts w:hint="eastAsia" w:ascii="宋体" w:hAnsi="宋体"/>
          <w:szCs w:val="21"/>
          <w:lang w:eastAsia="zh-CN"/>
        </w:rPr>
        <w:t>：</w:t>
      </w:r>
    </w:p>
    <w:p w14:paraId="1F46E2E4">
      <w:pPr>
        <w:spacing w:line="360" w:lineRule="auto"/>
        <w:ind w:firstLine="420" w:firstLineChars="200"/>
        <w:rPr>
          <w:rFonts w:hint="eastAsia" w:ascii="宋体" w:hAnsi="宋体"/>
          <w:szCs w:val="21"/>
          <w:highlight w:val="none"/>
        </w:rPr>
      </w:pPr>
      <w:r>
        <w:rPr>
          <w:rFonts w:hint="eastAsia" w:ascii="宋体" w:hAnsi="宋体"/>
          <w:szCs w:val="21"/>
        </w:rPr>
        <w:t>3.</w:t>
      </w:r>
      <w:r>
        <w:rPr>
          <w:rFonts w:hint="eastAsia" w:ascii="宋体" w:hAnsi="宋体"/>
          <w:szCs w:val="21"/>
          <w:lang w:val="en-US" w:eastAsia="zh-CN"/>
        </w:rPr>
        <w:t>1</w:t>
      </w:r>
      <w:r>
        <w:rPr>
          <w:rFonts w:hint="eastAsia" w:ascii="宋体" w:hAnsi="宋体"/>
          <w:szCs w:val="21"/>
          <w:highlight w:val="none"/>
        </w:rPr>
        <w:t>甲方支付给乙方的餐饮服务费用（首体）全年共计不高于：</w:t>
      </w:r>
      <w:r>
        <w:rPr>
          <w:rFonts w:hint="eastAsia" w:ascii="宋体" w:hAnsi="宋体"/>
          <w:szCs w:val="21"/>
          <w:highlight w:val="none"/>
          <w:u w:val="single"/>
          <w:lang w:val="en-US" w:eastAsia="zh-CN"/>
        </w:rPr>
        <w:t xml:space="preserve">    </w:t>
      </w:r>
      <w:r>
        <w:rPr>
          <w:rFonts w:hint="eastAsia" w:ascii="宋体" w:hAnsi="宋体"/>
          <w:szCs w:val="21"/>
          <w:highlight w:val="none"/>
        </w:rPr>
        <w:t>元人民币，大写：</w:t>
      </w:r>
      <w:r>
        <w:rPr>
          <w:rFonts w:hint="eastAsia" w:ascii="宋体" w:hAnsi="宋体"/>
          <w:szCs w:val="21"/>
          <w:highlight w:val="none"/>
          <w:u w:val="single"/>
          <w:lang w:val="en-US" w:eastAsia="zh-CN"/>
        </w:rPr>
        <w:t xml:space="preserve">    </w:t>
      </w:r>
      <w:r>
        <w:rPr>
          <w:rFonts w:hint="eastAsia" w:ascii="宋体" w:hAnsi="宋体"/>
          <w:szCs w:val="21"/>
          <w:highlight w:val="none"/>
          <w:u w:val="none"/>
        </w:rPr>
        <w:t>元整</w:t>
      </w:r>
      <w:r>
        <w:rPr>
          <w:rFonts w:hint="eastAsia" w:ascii="宋体" w:hAnsi="宋体"/>
          <w:szCs w:val="21"/>
          <w:highlight w:val="none"/>
        </w:rPr>
        <w:t>，每月</w:t>
      </w:r>
      <w:r>
        <w:rPr>
          <w:rFonts w:hint="eastAsia" w:ascii="宋体" w:hAnsi="宋体"/>
          <w:szCs w:val="21"/>
          <w:highlight w:val="none"/>
          <w:u w:val="single"/>
          <w:lang w:val="en-US" w:eastAsia="zh-CN"/>
        </w:rPr>
        <w:t xml:space="preserve">    </w:t>
      </w:r>
      <w:r>
        <w:rPr>
          <w:rFonts w:hint="eastAsia" w:ascii="宋体" w:hAnsi="宋体"/>
          <w:szCs w:val="21"/>
          <w:highlight w:val="none"/>
        </w:rPr>
        <w:t>元人民币，大写：</w:t>
      </w:r>
      <w:r>
        <w:rPr>
          <w:rFonts w:hint="eastAsia" w:ascii="宋体" w:hAnsi="宋体"/>
          <w:szCs w:val="21"/>
          <w:highlight w:val="none"/>
          <w:u w:val="single"/>
          <w:lang w:val="en-US" w:eastAsia="zh-CN"/>
        </w:rPr>
        <w:t xml:space="preserve">    </w:t>
      </w:r>
      <w:r>
        <w:rPr>
          <w:rFonts w:hint="eastAsia" w:ascii="宋体" w:hAnsi="宋体"/>
          <w:szCs w:val="21"/>
          <w:highlight w:val="none"/>
        </w:rPr>
        <w:t>元整。甲方支付给乙方的餐饮服务费用（怀柔）全年共计不高于：</w:t>
      </w:r>
      <w:r>
        <w:rPr>
          <w:rFonts w:hint="eastAsia" w:ascii="宋体" w:hAnsi="宋体"/>
          <w:szCs w:val="21"/>
          <w:highlight w:val="none"/>
          <w:u w:val="single"/>
          <w:lang w:val="en-US" w:eastAsia="zh-CN"/>
        </w:rPr>
        <w:t xml:space="preserve">    </w:t>
      </w:r>
      <w:r>
        <w:rPr>
          <w:rFonts w:hint="eastAsia" w:ascii="宋体" w:hAnsi="宋体"/>
          <w:szCs w:val="21"/>
          <w:highlight w:val="none"/>
        </w:rPr>
        <w:t>元人民币，大写：</w:t>
      </w:r>
      <w:r>
        <w:rPr>
          <w:rFonts w:hint="eastAsia" w:ascii="宋体" w:hAnsi="宋体"/>
          <w:szCs w:val="21"/>
          <w:highlight w:val="none"/>
          <w:u w:val="single"/>
          <w:lang w:val="en-US" w:eastAsia="zh-CN"/>
        </w:rPr>
        <w:t xml:space="preserve">     </w:t>
      </w:r>
      <w:r>
        <w:rPr>
          <w:rFonts w:hint="eastAsia" w:ascii="宋体" w:hAnsi="宋体"/>
          <w:szCs w:val="21"/>
          <w:highlight w:val="none"/>
        </w:rPr>
        <w:t>元整，每月</w:t>
      </w:r>
      <w:r>
        <w:rPr>
          <w:rFonts w:hint="eastAsia" w:ascii="宋体" w:hAnsi="宋体"/>
          <w:szCs w:val="21"/>
          <w:highlight w:val="none"/>
          <w:u w:val="single"/>
          <w:lang w:val="en-US" w:eastAsia="zh-CN"/>
        </w:rPr>
        <w:t xml:space="preserve">    </w:t>
      </w:r>
      <w:r>
        <w:rPr>
          <w:rFonts w:hint="eastAsia" w:ascii="宋体" w:hAnsi="宋体"/>
          <w:szCs w:val="21"/>
          <w:highlight w:val="none"/>
        </w:rPr>
        <w:t>元人民币，大写：</w:t>
      </w:r>
      <w:r>
        <w:rPr>
          <w:rFonts w:hint="eastAsia" w:ascii="宋体" w:hAnsi="宋体"/>
          <w:szCs w:val="21"/>
          <w:highlight w:val="none"/>
          <w:u w:val="single"/>
          <w:lang w:val="en-US" w:eastAsia="zh-CN"/>
        </w:rPr>
        <w:t xml:space="preserve">    </w:t>
      </w:r>
      <w:r>
        <w:rPr>
          <w:rFonts w:hint="eastAsia" w:ascii="宋体" w:hAnsi="宋体"/>
          <w:szCs w:val="21"/>
          <w:highlight w:val="none"/>
        </w:rPr>
        <w:t>元整。（包括</w:t>
      </w:r>
      <w:r>
        <w:rPr>
          <w:rFonts w:hint="eastAsia" w:ascii="宋体" w:hAnsi="宋体"/>
          <w:szCs w:val="21"/>
          <w:highlight w:val="none"/>
          <w:lang w:val="en-US" w:eastAsia="zh-CN"/>
        </w:rPr>
        <w:t>用人成本和</w:t>
      </w:r>
      <w:r>
        <w:rPr>
          <w:rFonts w:hint="eastAsia" w:ascii="宋体" w:hAnsi="宋体"/>
          <w:szCs w:val="21"/>
          <w:highlight w:val="none"/>
        </w:rPr>
        <w:t>管理费。</w:t>
      </w:r>
      <w:r>
        <w:rPr>
          <w:rFonts w:hint="eastAsia" w:ascii="宋体" w:hAnsi="宋体"/>
          <w:szCs w:val="21"/>
          <w:highlight w:val="none"/>
          <w:lang w:val="en-US" w:eastAsia="zh-CN"/>
        </w:rPr>
        <w:t>用人成本</w:t>
      </w:r>
      <w:r>
        <w:rPr>
          <w:rFonts w:hint="eastAsia" w:ascii="宋体" w:hAnsi="宋体"/>
          <w:szCs w:val="21"/>
          <w:highlight w:val="none"/>
        </w:rPr>
        <w:t>系指乙方为甲方提供餐饮服务而聘用的人员所需的费用，包括但不限于人员工资、保险、福利、服装、健康体检、宿舍等费用；管理费指包括乙方的管理酬金、培训等运营支持费用和法定税费。</w:t>
      </w:r>
    </w:p>
    <w:p w14:paraId="1C3FC60F">
      <w:pPr>
        <w:spacing w:line="360" w:lineRule="auto"/>
        <w:ind w:firstLine="420" w:firstLineChars="200"/>
        <w:rPr>
          <w:rFonts w:hint="eastAsia" w:ascii="宋体" w:hAnsi="宋体"/>
          <w:szCs w:val="21"/>
        </w:rPr>
      </w:pPr>
      <w:r>
        <w:rPr>
          <w:rFonts w:hint="eastAsia" w:ascii="宋体" w:hAnsi="宋体"/>
          <w:szCs w:val="21"/>
          <w:lang w:val="en-US" w:eastAsia="zh-CN"/>
        </w:rPr>
        <w:t>3.2</w:t>
      </w:r>
      <w:r>
        <w:rPr>
          <w:rFonts w:hint="eastAsia" w:ascii="宋体" w:hAnsi="宋体"/>
          <w:szCs w:val="21"/>
        </w:rPr>
        <w:t>乙方于每月底向甲方开具服务费增值税普通发票。甲方于每月以转帐/支票的方式向乙方支付上月餐饮服务费。遇节假日顺延，如因其他原因需顺延时，双方需协商解决。</w:t>
      </w:r>
    </w:p>
    <w:p w14:paraId="01DE62A6">
      <w:pPr>
        <w:spacing w:line="360" w:lineRule="auto"/>
        <w:ind w:firstLine="420" w:firstLineChars="200"/>
        <w:rPr>
          <w:rFonts w:hint="eastAsia" w:ascii="宋体" w:hAnsi="宋体"/>
          <w:szCs w:val="21"/>
        </w:rPr>
      </w:pPr>
      <w:r>
        <w:rPr>
          <w:rFonts w:hint="eastAsia" w:ascii="宋体" w:hAnsi="宋体"/>
          <w:szCs w:val="21"/>
          <w:lang w:val="en-US" w:eastAsia="zh-CN"/>
        </w:rPr>
        <w:t>3.3</w:t>
      </w:r>
      <w:r>
        <w:rPr>
          <w:rFonts w:hint="eastAsia" w:ascii="宋体" w:hAnsi="宋体"/>
          <w:szCs w:val="21"/>
        </w:rPr>
        <w:t>因实际餐厅经营服务需要，派驻人员数量及餐饮管理服务费有变化的，双方以签订补充协议的形式另行约定。</w:t>
      </w:r>
    </w:p>
    <w:p w14:paraId="6F715BD5">
      <w:pPr>
        <w:spacing w:line="360" w:lineRule="auto"/>
        <w:ind w:firstLine="420" w:firstLineChars="200"/>
        <w:rPr>
          <w:rFonts w:hint="eastAsia" w:ascii="宋体" w:hAnsi="宋体"/>
          <w:szCs w:val="21"/>
        </w:rPr>
      </w:pPr>
      <w:r>
        <w:rPr>
          <w:rFonts w:hint="eastAsia" w:ascii="宋体" w:hAnsi="宋体"/>
          <w:szCs w:val="21"/>
          <w:lang w:val="en-US" w:eastAsia="zh-CN"/>
        </w:rPr>
        <w:t>3.4</w:t>
      </w:r>
      <w:r>
        <w:rPr>
          <w:rFonts w:hint="eastAsia" w:ascii="宋体" w:hAnsi="宋体"/>
          <w:szCs w:val="21"/>
        </w:rPr>
        <w:t>前述餐饮服务费包括餐饮服务劳务费和餐饮服务等一切管理费，除了该笔费用，甲方无需向乙方再支付其他任何服务管理费用。</w:t>
      </w:r>
    </w:p>
    <w:p w14:paraId="693CFDE6">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3.5当出现国家税收、劳动力的社会福利、保险或最低工资标准或其它应付的津贴等政策出现较大变化时，甲方支付的餐饮服务费用在合同期限内不做任何调整。</w:t>
      </w:r>
    </w:p>
    <w:p w14:paraId="0915E8F8">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4.甲方向乙方支付费用的方式：</w:t>
      </w:r>
    </w:p>
    <w:p w14:paraId="2D38D469">
      <w:pPr>
        <w:spacing w:line="360" w:lineRule="auto"/>
        <w:ind w:firstLine="420" w:firstLineChars="200"/>
        <w:rPr>
          <w:rFonts w:hint="eastAsia" w:ascii="宋体" w:hAnsi="宋体"/>
          <w:szCs w:val="21"/>
        </w:rPr>
      </w:pPr>
      <w:r>
        <w:rPr>
          <w:rFonts w:hint="eastAsia" w:ascii="宋体" w:hAnsi="宋体"/>
          <w:szCs w:val="21"/>
          <w:lang w:val="en-US" w:eastAsia="zh-CN"/>
        </w:rPr>
        <w:t>4.1</w:t>
      </w:r>
      <w:r>
        <w:rPr>
          <w:rFonts w:hint="eastAsia" w:ascii="宋体" w:hAnsi="宋体"/>
          <w:szCs w:val="21"/>
        </w:rPr>
        <w:t>甲方确认上一结算周期餐饮服务费用无误后告知乙方，乙方收到甲方餐饮服务费用金额无误通知后5个工作日内向甲方提交合法、等额、有效的发票，甲方收到发票并确认后15个工作日内以银行转账的形式向乙方支付上月的餐饮服务费，但甲方有权从履约保证金或应付款中扣除乙方依据本合同应支付的违约金。</w:t>
      </w:r>
    </w:p>
    <w:p w14:paraId="4ABCF564">
      <w:pPr>
        <w:spacing w:line="360" w:lineRule="auto"/>
        <w:ind w:firstLine="420" w:firstLineChars="200"/>
        <w:rPr>
          <w:rFonts w:hint="eastAsia" w:ascii="宋体" w:hAnsi="宋体"/>
          <w:szCs w:val="21"/>
        </w:rPr>
      </w:pPr>
      <w:r>
        <w:rPr>
          <w:rFonts w:hint="eastAsia" w:ascii="宋体" w:hAnsi="宋体"/>
          <w:szCs w:val="21"/>
          <w:lang w:val="en-US" w:eastAsia="zh-CN"/>
        </w:rPr>
        <w:t>4.2</w:t>
      </w:r>
      <w:r>
        <w:rPr>
          <w:rFonts w:hint="eastAsia" w:ascii="宋体" w:hAnsi="宋体"/>
          <w:szCs w:val="21"/>
        </w:rPr>
        <w:t>若甲方根据本合同约定增加或减少餐饮服务人员数量、餐饮服务管理内容的，双方应按照本合同约定增减费用后再进行结算。</w:t>
      </w:r>
    </w:p>
    <w:p w14:paraId="07827046">
      <w:pPr>
        <w:spacing w:line="360" w:lineRule="auto"/>
        <w:ind w:firstLine="420" w:firstLineChars="200"/>
        <w:rPr>
          <w:rFonts w:hint="eastAsia" w:ascii="宋体" w:hAnsi="宋体"/>
          <w:szCs w:val="21"/>
        </w:rPr>
      </w:pPr>
      <w:r>
        <w:rPr>
          <w:rFonts w:hint="eastAsia" w:ascii="宋体" w:hAnsi="宋体"/>
          <w:szCs w:val="21"/>
          <w:lang w:val="en-US" w:eastAsia="zh-CN"/>
        </w:rPr>
        <w:t>4.3</w:t>
      </w:r>
      <w:r>
        <w:rPr>
          <w:rFonts w:hint="eastAsia" w:ascii="宋体" w:hAnsi="宋体"/>
          <w:szCs w:val="21"/>
        </w:rPr>
        <w:t>甲方付款前，乙方须按甲方要求向甲方开具同等金额的增值税普通发票；否则，甲方有权拒绝支付，直至乙方开具发票为止。</w:t>
      </w:r>
    </w:p>
    <w:p w14:paraId="4FB2648D">
      <w:pPr>
        <w:spacing w:line="360" w:lineRule="auto"/>
        <w:ind w:firstLine="420" w:firstLineChars="200"/>
        <w:rPr>
          <w:rFonts w:hint="eastAsia" w:ascii="宋体" w:hAnsi="宋体"/>
          <w:szCs w:val="21"/>
        </w:rPr>
      </w:pPr>
      <w:r>
        <w:rPr>
          <w:rFonts w:hint="eastAsia" w:ascii="宋体" w:hAnsi="宋体"/>
          <w:szCs w:val="21"/>
          <w:lang w:val="en-US" w:eastAsia="zh-CN"/>
        </w:rPr>
        <w:t>4.4</w:t>
      </w:r>
      <w:r>
        <w:rPr>
          <w:rFonts w:hint="eastAsia" w:ascii="宋体" w:hAnsi="宋体"/>
          <w:szCs w:val="21"/>
        </w:rPr>
        <w:t>在合同履行过程中，甲方可根据实际需要单方面要求乙方增加或减少餐饮服务人员数量、餐饮服务管理的内容。乙方应在接到通知后立即或在三个自然日内（具体视情况而定）开始执行，乙方应保证可随时提供熟练的后备人员以保证工作的不间断性或以备不时之需。</w:t>
      </w:r>
    </w:p>
    <w:p w14:paraId="3707FED5">
      <w:pPr>
        <w:spacing w:line="360" w:lineRule="auto"/>
        <w:ind w:firstLine="420" w:firstLineChars="200"/>
        <w:rPr>
          <w:rFonts w:hint="eastAsia" w:ascii="宋体" w:hAnsi="宋体"/>
          <w:szCs w:val="21"/>
        </w:rPr>
      </w:pPr>
      <w:r>
        <w:rPr>
          <w:rFonts w:hint="eastAsia" w:ascii="宋体" w:hAnsi="宋体"/>
          <w:szCs w:val="21"/>
          <w:lang w:val="en-US" w:eastAsia="zh-CN"/>
        </w:rPr>
        <w:t>4.5</w:t>
      </w:r>
      <w:r>
        <w:rPr>
          <w:rFonts w:hint="eastAsia" w:ascii="宋体" w:hAnsi="宋体"/>
          <w:szCs w:val="21"/>
        </w:rPr>
        <w:t>增加或减少餐饮服务管理内容的，双方应按照实际增加或减少的餐饮服务管理内容，增加或扣减相应的费用。</w:t>
      </w:r>
    </w:p>
    <w:p w14:paraId="4E32CCBC">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5.履约保证金</w:t>
      </w:r>
    </w:p>
    <w:p w14:paraId="4FD9748E">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5.1</w:t>
      </w:r>
      <w:r>
        <w:rPr>
          <w:rFonts w:hint="default" w:ascii="宋体" w:hAnsi="宋体"/>
          <w:szCs w:val="21"/>
          <w:lang w:val="en-US" w:eastAsia="zh-CN"/>
        </w:rPr>
        <w:t>乙方应在收到中标通知书10日内且在本合同签订之前按照招标文件的要求向甲方支付人民币【伍万元】（小写：¥【50000.00】）的履约保证金，如乙方在合同履行过程中无任何违约行为，该履约保证金将在合同终止后退还给乙方（不计利息）；如双方续签合同的，保证金可以不予退还并继续留存使用。</w:t>
      </w:r>
    </w:p>
    <w:p w14:paraId="62728ABA">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5.2如乙方在合同履行过程中出现任</w:t>
      </w:r>
      <w:bookmarkStart w:id="61" w:name="_GoBack"/>
      <w:bookmarkEnd w:id="61"/>
      <w:r>
        <w:rPr>
          <w:rFonts w:hint="default" w:ascii="宋体" w:hAnsi="宋体"/>
          <w:szCs w:val="21"/>
          <w:lang w:val="en-US" w:eastAsia="zh-CN"/>
        </w:rPr>
        <w:t>何违约行为，甲方有权直接从该履约保证金中扣除相应违约金，乙方应在10个工作日内向甲方补足被扣除部分的履约保证金。</w:t>
      </w:r>
    </w:p>
    <w:p w14:paraId="63BE84D9">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5.6甲、乙方</w:t>
      </w:r>
      <w:r>
        <w:rPr>
          <w:rFonts w:hint="eastAsia" w:ascii="宋体" w:hAnsi="宋体"/>
          <w:szCs w:val="21"/>
          <w:lang w:val="en-US" w:eastAsia="zh-CN"/>
        </w:rPr>
        <w:t>开票信息</w:t>
      </w:r>
    </w:p>
    <w:p w14:paraId="3C2A8530">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甲方：</w:t>
      </w:r>
    </w:p>
    <w:p w14:paraId="61C7A2BF">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企业名称：中国机械科学研究总院集团有限公司</w:t>
      </w:r>
    </w:p>
    <w:p w14:paraId="0F649735">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纳税人识别号：91110000400008060U</w:t>
      </w:r>
    </w:p>
    <w:p w14:paraId="547FD499">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地址、电话：北京市海淀区首体南路2号   010-88301966</w:t>
      </w:r>
    </w:p>
    <w:p w14:paraId="45F20769">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开户</w:t>
      </w:r>
      <w:r>
        <w:rPr>
          <w:rFonts w:hint="eastAsia" w:ascii="宋体" w:hAnsi="宋体"/>
          <w:szCs w:val="21"/>
          <w:lang w:val="en-US" w:eastAsia="zh-CN"/>
        </w:rPr>
        <w:t>银行名称</w:t>
      </w:r>
      <w:r>
        <w:rPr>
          <w:rFonts w:hint="default" w:ascii="宋体" w:hAnsi="宋体"/>
          <w:szCs w:val="21"/>
          <w:lang w:val="en-US" w:eastAsia="zh-CN"/>
        </w:rPr>
        <w:t>：工行百万庄支行</w:t>
      </w:r>
    </w:p>
    <w:p w14:paraId="29B4F389">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开户银行账号：</w:t>
      </w:r>
      <w:r>
        <w:rPr>
          <w:rFonts w:hint="default" w:ascii="宋体" w:hAnsi="宋体"/>
          <w:szCs w:val="21"/>
          <w:lang w:val="en-US" w:eastAsia="zh-CN"/>
        </w:rPr>
        <w:t>0200001409089015618</w:t>
      </w:r>
    </w:p>
    <w:p w14:paraId="0A3FE3B2">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是否为增值税一般纳税人：是</w:t>
      </w:r>
    </w:p>
    <w:p w14:paraId="58535D5D">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是否需要开具增值税专用发票：是</w:t>
      </w:r>
    </w:p>
    <w:p w14:paraId="4B37CAF4">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乙方：</w:t>
      </w:r>
    </w:p>
    <w:p w14:paraId="31F5D2FD">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企业名称：</w:t>
      </w:r>
    </w:p>
    <w:p w14:paraId="2DFE9C00">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纳税人识别号：</w:t>
      </w:r>
    </w:p>
    <w:p w14:paraId="0A24D9E2">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地址、电话：</w:t>
      </w:r>
    </w:p>
    <w:p w14:paraId="32A0035C">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开户银行名称：</w:t>
      </w:r>
    </w:p>
    <w:p w14:paraId="69E53385">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开户银行账号：</w:t>
      </w:r>
    </w:p>
    <w:p w14:paraId="7B19273D">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是否为增值税一般纳税人：</w:t>
      </w:r>
    </w:p>
    <w:p w14:paraId="57DE71B0">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是否需要开具增值税专用发票：</w:t>
      </w:r>
    </w:p>
    <w:p w14:paraId="542897E4">
      <w:pPr>
        <w:spacing w:line="360" w:lineRule="auto"/>
        <w:ind w:firstLine="420" w:firstLineChars="200"/>
        <w:rPr>
          <w:rFonts w:hint="eastAsia" w:ascii="宋体" w:hAnsi="宋体"/>
          <w:szCs w:val="21"/>
          <w:highlight w:val="none"/>
        </w:rPr>
      </w:pPr>
      <w:r>
        <w:rPr>
          <w:rFonts w:hint="eastAsia" w:ascii="宋体" w:hAnsi="宋体"/>
          <w:szCs w:val="21"/>
          <w:highlight w:val="none"/>
        </w:rPr>
        <w:t>6.服务商的月服务费包括：</w:t>
      </w:r>
    </w:p>
    <w:p w14:paraId="2FD8DE43">
      <w:pPr>
        <w:spacing w:line="360" w:lineRule="auto"/>
        <w:ind w:firstLine="420" w:firstLineChars="200"/>
        <w:rPr>
          <w:rFonts w:hint="eastAsia" w:ascii="宋体" w:hAnsi="宋体"/>
          <w:szCs w:val="21"/>
          <w:highlight w:val="none"/>
        </w:rPr>
      </w:pPr>
      <w:r>
        <w:rPr>
          <w:rFonts w:hint="eastAsia" w:ascii="宋体" w:hAnsi="宋体"/>
          <w:szCs w:val="21"/>
          <w:highlight w:val="none"/>
        </w:rPr>
        <w:t>6.1</w:t>
      </w:r>
      <w:r>
        <w:rPr>
          <w:rFonts w:hint="eastAsia" w:ascii="宋体" w:hAnsi="宋体"/>
          <w:szCs w:val="21"/>
          <w:highlight w:val="none"/>
          <w:lang w:val="en-US" w:eastAsia="zh-CN"/>
        </w:rPr>
        <w:t>管理</w:t>
      </w:r>
      <w:r>
        <w:rPr>
          <w:rFonts w:hint="eastAsia" w:ascii="宋体" w:hAnsi="宋体"/>
          <w:szCs w:val="21"/>
          <w:highlight w:val="none"/>
        </w:rPr>
        <w:t>服务费</w:t>
      </w:r>
      <w:r>
        <w:rPr>
          <w:rFonts w:hint="eastAsia" w:ascii="宋体" w:hAnsi="宋体"/>
          <w:szCs w:val="21"/>
          <w:highlight w:val="none"/>
          <w:lang w:eastAsia="zh-CN"/>
        </w:rPr>
        <w:t>（</w:t>
      </w:r>
      <w:r>
        <w:rPr>
          <w:rFonts w:hint="eastAsia" w:ascii="宋体" w:hAnsi="宋体"/>
          <w:szCs w:val="21"/>
          <w:highlight w:val="none"/>
          <w:lang w:val="en-US" w:eastAsia="zh-CN"/>
        </w:rPr>
        <w:t>含人工成本、管理费、增值税费</w:t>
      </w:r>
      <w:r>
        <w:rPr>
          <w:rFonts w:hint="eastAsia" w:ascii="宋体" w:hAnsi="宋体"/>
          <w:szCs w:val="21"/>
          <w:highlight w:val="none"/>
          <w:lang w:eastAsia="zh-CN"/>
        </w:rPr>
        <w:t>）。</w:t>
      </w:r>
    </w:p>
    <w:p w14:paraId="25F04BEF">
      <w:pPr>
        <w:spacing w:line="360" w:lineRule="auto"/>
        <w:ind w:firstLine="422" w:firstLineChars="200"/>
        <w:rPr>
          <w:rFonts w:hint="eastAsia" w:ascii="宋体" w:hAnsi="宋体" w:eastAsia="宋体"/>
          <w:b/>
          <w:szCs w:val="21"/>
          <w:lang w:eastAsia="zh-CN"/>
        </w:rPr>
      </w:pPr>
      <w:r>
        <w:rPr>
          <w:rFonts w:hint="eastAsia" w:ascii="宋体" w:hAnsi="宋体"/>
          <w:b/>
          <w:szCs w:val="21"/>
        </w:rPr>
        <w:t>第八条 食材及食材费支付</w:t>
      </w:r>
      <w:r>
        <w:rPr>
          <w:rFonts w:hint="eastAsia" w:ascii="宋体" w:hAnsi="宋体"/>
          <w:b/>
          <w:szCs w:val="21"/>
          <w:lang w:eastAsia="zh-CN"/>
        </w:rPr>
        <w:t>（</w:t>
      </w:r>
      <w:r>
        <w:rPr>
          <w:rFonts w:hint="eastAsia" w:ascii="宋体" w:hAnsi="宋体"/>
          <w:b/>
          <w:szCs w:val="21"/>
          <w:lang w:val="en-US" w:eastAsia="zh-CN"/>
        </w:rPr>
        <w:t>如需</w:t>
      </w:r>
      <w:r>
        <w:rPr>
          <w:rFonts w:hint="eastAsia" w:ascii="宋体" w:hAnsi="宋体"/>
          <w:b/>
          <w:szCs w:val="21"/>
          <w:lang w:eastAsia="zh-CN"/>
        </w:rPr>
        <w:t>）</w:t>
      </w:r>
    </w:p>
    <w:p w14:paraId="7F4D2250">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1.甲方委托乙方代为采购食材，乙方应做好食材验收、保管、农药残留抽检等。由乙方无息垫付采购费用。乙方应提供食材成本消耗与刷卡流水收入对账单，供招标人随时审查。</w:t>
      </w:r>
    </w:p>
    <w:p w14:paraId="33CAAE74">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乙方必须选择信誉良好具有合法资质的食材供应商，乙方应将所选用供应商的资质向甲方存档备案，各类报价按期呈交甲方并接受甲方核查。乙方采购的各类原材料须是符合国家有关规定和行业标准、经食品检验检疫部门检验合格的绿色环保产品，各类原材料品牌均使用市场一线品牌，如：北大荒（米面）、鹏程（肉类）、大红门（肉类）、三元（奶类）、正大（蛋类）、德青源（蛋类）、海天（调料类）、福临门、鲁花（油类）等。食材采购品牌和内容须经甲方审核确认后由乙方负责采购。乙方不得使用“三无”和假冒伪劣商品，不得使用鲍鱼鱼翅海参燕窝等高档食材，不得使用受污染的海、水产品，不得使用转基因产品，不得使用过期或临近保质期产品。乙方应确保充分保证原材料的公开透明、安全可靠和源头追溯，最大程度保障食品原料的安全。乙方应制定执行供应商监管、原材料定价监管、菜单制定监管、采购计划量监管、原材料验收监管、出入库监管、收支核算监管等管理制度，以供甲方随时审查。</w:t>
      </w:r>
    </w:p>
    <w:p w14:paraId="5ACE733C">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3.甲方餐标为食材纯入口费用。</w:t>
      </w:r>
    </w:p>
    <w:p w14:paraId="59B20CF1">
      <w:pPr>
        <w:tabs>
          <w:tab w:val="left" w:pos="425"/>
        </w:tabs>
        <w:adjustRightInd w:val="0"/>
        <w:spacing w:line="360" w:lineRule="auto"/>
        <w:ind w:firstLine="420" w:firstLineChars="200"/>
        <w:rPr>
          <w:rFonts w:hint="eastAsia" w:ascii="宋体" w:hAnsi="宋体" w:cs="宋体"/>
          <w:szCs w:val="21"/>
        </w:rPr>
      </w:pPr>
      <w:r>
        <w:rPr>
          <w:rFonts w:hint="eastAsia" w:ascii="宋体" w:hAnsi="宋体" w:cs="宋体"/>
          <w:szCs w:val="21"/>
          <w:lang w:bidi="ar"/>
        </w:rPr>
        <w:t>4.乙方应根据甲方要求每年采购一定金额的指定乡村振兴帮扶产品。</w:t>
      </w:r>
    </w:p>
    <w:p w14:paraId="3A6338C8">
      <w:pPr>
        <w:tabs>
          <w:tab w:val="left" w:pos="425"/>
        </w:tabs>
        <w:adjustRightInd w:val="0"/>
        <w:spacing w:line="360" w:lineRule="auto"/>
        <w:ind w:firstLine="420" w:firstLineChars="200"/>
        <w:rPr>
          <w:rFonts w:hint="eastAsia" w:ascii="宋体" w:hAnsi="宋体" w:cs="宋体"/>
          <w:szCs w:val="21"/>
        </w:rPr>
      </w:pPr>
      <w:r>
        <w:rPr>
          <w:rFonts w:hint="eastAsia" w:ascii="宋体" w:hAnsi="宋体"/>
          <w:szCs w:val="21"/>
        </w:rPr>
        <w:t>5.乙方如因实际需要更换原材料供应商，须提前一周向甲方书面说明。如乙方违反本条款，应承担由此引发的一切责任（包括但不限于赔偿甲方、甲方员工及第三方的所有人身损害和财产损失，并接受有关政府部门的行政处罚）；严格管理食品原材料的采购活动，确保所有采购活动和行为遵守国家法律、法规、规章和其他相关规定，并坚决杜绝利用采购、管理食品原材料的机会谋取私利、损害甲方利益，或者收受回扣、好处费等商业贿赂行为。如乙方或乙方人员存在上述行为，经甲方调查核实后，甲方有权扣除乙方的履约保证金，并有权要求乙方赔偿损失。乙方应在履约保证金扣除之日起15日内重新向甲方提交符合本合同约定的履约保函。并有权要求乙方撤换相关人员，直至解除双方签订的《</w:t>
      </w:r>
      <w:r>
        <w:rPr>
          <w:rFonts w:hint="eastAsia" w:ascii="宋体" w:hAnsi="宋体"/>
          <w:szCs w:val="21"/>
          <w:lang w:val="en-US" w:eastAsia="zh-CN"/>
        </w:rPr>
        <w:t>中国机械总院</w:t>
      </w:r>
      <w:r>
        <w:rPr>
          <w:rFonts w:hint="eastAsia" w:ascii="宋体" w:hAnsi="宋体"/>
          <w:szCs w:val="21"/>
        </w:rPr>
        <w:t>餐饮服务合同》，并继续追究乙方的法律责任。乙方应对每天或每批次的食品原材料的质量、数量及价格进行仔细核对和管理，并负责相关的运输、仓储和保管。</w:t>
      </w:r>
    </w:p>
    <w:p w14:paraId="1B9D022D">
      <w:pPr>
        <w:spacing w:line="360" w:lineRule="auto"/>
        <w:ind w:firstLine="420" w:firstLineChars="200"/>
        <w:rPr>
          <w:rFonts w:hint="eastAsia" w:ascii="宋体" w:hAnsi="宋体"/>
          <w:szCs w:val="21"/>
        </w:rPr>
      </w:pPr>
      <w:r>
        <w:rPr>
          <w:rFonts w:hint="eastAsia" w:ascii="宋体" w:hAnsi="宋体"/>
          <w:szCs w:val="21"/>
        </w:rPr>
        <w:t>6.对甲方提出的全部或部分更换食材供应商，在更换之前，乙方需保证供应正常；乙方应妥善留存各类采购单据凭证，以备甲方核查。</w:t>
      </w:r>
    </w:p>
    <w:p w14:paraId="6CFA77F6">
      <w:pPr>
        <w:tabs>
          <w:tab w:val="left" w:pos="425"/>
        </w:tabs>
        <w:adjustRightInd w:val="0"/>
        <w:spacing w:line="360" w:lineRule="auto"/>
        <w:ind w:firstLine="420" w:firstLineChars="200"/>
        <w:rPr>
          <w:rFonts w:hint="eastAsia" w:ascii="宋体" w:hAnsi="宋体" w:cs="宋体"/>
          <w:szCs w:val="21"/>
        </w:rPr>
      </w:pPr>
      <w:r>
        <w:rPr>
          <w:rFonts w:hint="eastAsia" w:ascii="宋体" w:hAnsi="宋体" w:cs="宋体"/>
          <w:szCs w:val="21"/>
          <w:lang w:bidi="ar"/>
        </w:rPr>
        <w:t>7.采购内容和标准</w:t>
      </w:r>
    </w:p>
    <w:p w14:paraId="17B085A3">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（1）食品原材料采购内容</w:t>
      </w:r>
    </w:p>
    <w:p w14:paraId="74D7B5C0">
      <w:pPr>
        <w:tabs>
          <w:tab w:val="left" w:pos="425"/>
        </w:tabs>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包括但不限于：</w:t>
      </w:r>
      <w:r>
        <w:rPr>
          <w:rFonts w:hint="eastAsia" w:ascii="宋体" w:hAnsi="宋体" w:cs="宋体"/>
          <w:szCs w:val="21"/>
          <w:lang w:val="zh-CN"/>
        </w:rPr>
        <w:t>新鲜蔬菜、水果及副食品类项目（如蛋类、豆制品、奶类、干货及其他辅料）；肉制品类（各种肉类水产尽可能使用鲜活产品。猪肉类必须使用鲜肉，水产适当鲜活，牛羊类、生禽适当使用冰鲜肉，各种肉类水产不允许使用冷冻肉和冷冻水产）；米面、杂粮、食用油、调味品等。</w:t>
      </w:r>
    </w:p>
    <w:p w14:paraId="2D19B8F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（2）食品原材料采买质量标准</w:t>
      </w:r>
    </w:p>
    <w:p w14:paraId="1564FDAD">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1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①</w:t>
      </w:r>
      <w:r>
        <w:rPr>
          <w:rFonts w:ascii="宋体" w:hAnsi="宋体" w:cs="宋体"/>
          <w:szCs w:val="21"/>
          <w:lang w:bidi="ar"/>
        </w:rPr>
        <w:fldChar w:fldCharType="end"/>
      </w:r>
      <w:r>
        <w:rPr>
          <w:rFonts w:hint="eastAsia" w:ascii="宋体" w:hAnsi="宋体" w:cs="宋体"/>
          <w:szCs w:val="21"/>
          <w:lang w:bidi="ar"/>
        </w:rPr>
        <w:t>蔬菜产品质量标准：</w:t>
      </w:r>
    </w:p>
    <w:p w14:paraId="3B7FC001">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蔬菜必须保证每日新鲜，取得无公害认证，并出具有效的《农产品检验报告》，保证农药等化学物不超标、无病虫害、无生理病害和严重污染，避免出现以下情况：</w:t>
      </w:r>
    </w:p>
    <w:p w14:paraId="3AC161B8">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叶菜类：叶子枯萎、变黄、水伤腐烂、有泥土；茎菜类：叶子发黄、茎折断、变软；瓜类：变色、变软、擦伤；豆类：枯萎、变色；地茎类：长芽、变色、擦伤、出水；有切口菜：切口变色、内茎腐烂。</w:t>
      </w:r>
    </w:p>
    <w:p w14:paraId="0B802139">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2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②</w:t>
      </w:r>
      <w:r>
        <w:rPr>
          <w:rFonts w:ascii="宋体" w:hAnsi="宋体" w:cs="宋体"/>
          <w:szCs w:val="21"/>
          <w:lang w:bidi="ar"/>
        </w:rPr>
        <w:fldChar w:fldCharType="end"/>
      </w:r>
      <w:r>
        <w:rPr>
          <w:rFonts w:hint="eastAsia" w:ascii="宋体" w:hAnsi="宋体" w:cs="宋体"/>
          <w:szCs w:val="21"/>
          <w:lang w:bidi="ar"/>
        </w:rPr>
        <w:t>水果产品质量标准：</w:t>
      </w:r>
    </w:p>
    <w:p w14:paraId="1E074F3D">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水果必须保证每日新鲜，取得无公害认证，并出具有效的《农产品检验报告》，保证农药等化学物不超标、无病虫害、无生理病害和严重污染。</w:t>
      </w:r>
    </w:p>
    <w:p w14:paraId="48DB3B12">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检查包装箱是否完好，内箱支持物是否够强度；产地、等级、规格清晰；表面无腐烂、无磕碰压伤、无开裂果汁流出；果皮新鲜、光泽、无皱纹；无病虫害、生理病害及严重污染；规格大小均匀整齐。</w:t>
      </w:r>
    </w:p>
    <w:p w14:paraId="5C5E36D7">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3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③</w:t>
      </w:r>
      <w:r>
        <w:rPr>
          <w:rFonts w:ascii="宋体" w:hAnsi="宋体" w:cs="宋体"/>
          <w:szCs w:val="21"/>
          <w:lang w:bidi="ar"/>
        </w:rPr>
        <w:fldChar w:fldCharType="end"/>
      </w:r>
      <w:r>
        <w:rPr>
          <w:rFonts w:hint="eastAsia" w:ascii="宋体" w:hAnsi="宋体" w:cs="宋体"/>
          <w:szCs w:val="21"/>
          <w:lang w:bidi="ar"/>
        </w:rPr>
        <w:t>副食调料、干货、豆制品产品质量标准：</w:t>
      </w:r>
    </w:p>
    <w:p w14:paraId="3E047B0E">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副食调料、干货、豆制品产品生产质量安全符合国家规定的QS标准，严禁提供违规使用添加产品，产品名称、规格、数量、产地、生产日期、保质期、生产批号、检验合格证号清晰，进口产品必须要有中文标示和说明，包装完整无破损。</w:t>
      </w:r>
    </w:p>
    <w:p w14:paraId="2BA1BCFE">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4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④</w:t>
      </w:r>
      <w:r>
        <w:rPr>
          <w:rFonts w:ascii="宋体" w:hAnsi="宋体" w:cs="宋体"/>
          <w:szCs w:val="21"/>
          <w:lang w:bidi="ar"/>
        </w:rPr>
        <w:fldChar w:fldCharType="end"/>
      </w:r>
      <w:r>
        <w:rPr>
          <w:rFonts w:hint="eastAsia" w:ascii="宋体" w:hAnsi="宋体" w:cs="宋体"/>
          <w:szCs w:val="21"/>
          <w:lang w:bidi="ar"/>
        </w:rPr>
        <w:t>鲜活水产、肉、蛋、家禽及冰鲜产品质量标准：</w:t>
      </w:r>
    </w:p>
    <w:p w14:paraId="66217D87">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提供的肉类须为经检疫和肉品品质检验合格的产品，具有屠宰厂（场）加盖验讫印章并出具《畜产品检验证明》或《动物检疫合格证明》，并每两周或根据招标人要求提供，所有产品可追溯。各种合格与检验票证齐全，运输卫生，色泽新鲜、无异味，无变质现象，无注水，包装产品包装完整，包装材料应无毒无污染材料，产品名称、规格、数量、产地、生产日期、保质期、生产批号、检验合格证号清晰，进口产品必须要有中文标示和说明。</w:t>
      </w:r>
    </w:p>
    <w:p w14:paraId="22CDA4CA">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5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⑤</w:t>
      </w:r>
      <w:r>
        <w:rPr>
          <w:rFonts w:ascii="宋体" w:hAnsi="宋体" w:cs="宋体"/>
          <w:szCs w:val="21"/>
          <w:lang w:bidi="ar"/>
        </w:rPr>
        <w:fldChar w:fldCharType="end"/>
      </w:r>
      <w:r>
        <w:rPr>
          <w:rFonts w:hint="eastAsia" w:ascii="宋体" w:hAnsi="宋体" w:cs="宋体"/>
          <w:szCs w:val="21"/>
          <w:lang w:bidi="ar"/>
        </w:rPr>
        <w:t>饮料产品质量标准：</w:t>
      </w:r>
    </w:p>
    <w:p w14:paraId="280ED28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饮料产品质量符合国家规定的QS标准，严禁提供违规使用添加产品，产品名称、规格、数量、产地、生产日期、保质期、生产批号、检验合格证号清晰，进口产品必须要有中文标示和说明，包装完整无破损。</w:t>
      </w:r>
    </w:p>
    <w:p w14:paraId="402B7894">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6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⑥</w:t>
      </w:r>
      <w:r>
        <w:rPr>
          <w:rFonts w:ascii="宋体" w:hAnsi="宋体" w:cs="宋体"/>
          <w:szCs w:val="21"/>
          <w:lang w:bidi="ar"/>
        </w:rPr>
        <w:fldChar w:fldCharType="end"/>
      </w:r>
      <w:r>
        <w:rPr>
          <w:rFonts w:hint="eastAsia" w:ascii="宋体" w:hAnsi="宋体" w:cs="宋体"/>
          <w:szCs w:val="21"/>
          <w:lang w:bidi="ar"/>
        </w:rPr>
        <w:t>粮油、调味品产品质量标准：</w:t>
      </w:r>
    </w:p>
    <w:p w14:paraId="44A58E14">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粮油产品生产质量安全符合国家规定的QS标准，产品名称、规格、数量、产地、生产日期、保质期、生产批号、检验合格证号清晰，进口产品必须要有中文标示和说明，包装完整无破损。</w:t>
      </w:r>
    </w:p>
    <w:p w14:paraId="62E56514">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⑦面包、蛋糕、茶点质量标准：</w:t>
      </w:r>
    </w:p>
    <w:p w14:paraId="207AC33F">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面包要求使用高筋面粉，蛋白质含量在11.5%以上；蛋糕要求使用低筋面粉，蛋白质含量在7-9%之间。面粉应新鲜、无异味、无杂质，并符合食品安全标准。用于烘焙的奶油应使用天然动物奶油，应新鲜、无异味、无变质现象，确保奶油具有较高的脂肪含量。不得使用防腐剂和反式脂肪。</w:t>
      </w:r>
    </w:p>
    <w:p w14:paraId="000373CA">
      <w:pPr>
        <w:adjustRightInd w:val="0"/>
        <w:spacing w:line="360" w:lineRule="auto"/>
        <w:ind w:firstLine="420" w:firstLineChars="200"/>
        <w:rPr>
          <w:rFonts w:hint="eastAsia" w:ascii="宋体" w:hAnsi="宋体" w:cs="宋体"/>
          <w:szCs w:val="21"/>
        </w:rPr>
      </w:pPr>
      <w:r>
        <w:rPr>
          <w:rFonts w:hint="eastAsia" w:ascii="宋体" w:hAnsi="宋体" w:cs="宋体"/>
          <w:szCs w:val="21"/>
          <w:lang w:bidi="ar"/>
        </w:rPr>
        <w:t>（3）食品原材料安全保障措施</w:t>
      </w:r>
    </w:p>
    <w:p w14:paraId="013B0FB1">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1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①</w:t>
      </w:r>
      <w:r>
        <w:rPr>
          <w:rFonts w:ascii="宋体" w:hAnsi="宋体" w:cs="宋体"/>
          <w:szCs w:val="21"/>
          <w:lang w:bidi="ar"/>
        </w:rPr>
        <w:fldChar w:fldCharType="end"/>
      </w:r>
      <w:r>
        <w:rPr>
          <w:rFonts w:hint="eastAsia" w:ascii="宋体" w:hAnsi="宋体" w:cs="宋体"/>
          <w:szCs w:val="21"/>
          <w:lang w:bidi="ar"/>
        </w:rPr>
        <w:t>食品原材料必须严格遵守并符合《中华人民共和国食品安全法》、《中华人民共和国产品质量法》、《中华人民共和国进出口商品检验法》、《预包装食品标签通则》、《中华人民共和国农副产品质量安全法》、《中华人民共和国进出境动植物检疫法》及其实施条例、《进出境肉类检验检疫管理办法》以及其他有关法律法规。</w:t>
      </w:r>
    </w:p>
    <w:p w14:paraId="0445E8D3">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2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②</w:t>
      </w:r>
      <w:r>
        <w:rPr>
          <w:rFonts w:ascii="宋体" w:hAnsi="宋体" w:cs="宋体"/>
          <w:szCs w:val="21"/>
          <w:lang w:bidi="ar"/>
        </w:rPr>
        <w:fldChar w:fldCharType="end"/>
      </w:r>
      <w:r>
        <w:rPr>
          <w:rFonts w:hint="eastAsia" w:ascii="宋体" w:hAnsi="宋体" w:cs="宋体"/>
          <w:szCs w:val="21"/>
          <w:lang w:bidi="ar"/>
        </w:rPr>
        <w:t>所有包装类供货产品必须具有检验合格证和检疫票证，产品保质期不得少于6个月，保证不采购临期产品。</w:t>
      </w:r>
    </w:p>
    <w:p w14:paraId="678A406B">
      <w:pPr>
        <w:adjustRightInd w:val="0"/>
        <w:spacing w:line="360" w:lineRule="auto"/>
        <w:ind w:firstLine="420" w:firstLineChars="200"/>
        <w:rPr>
          <w:rFonts w:hint="eastAsia" w:ascii="宋体" w:hAnsi="宋体" w:cs="宋体"/>
          <w:szCs w:val="21"/>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3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③</w:t>
      </w:r>
      <w:r>
        <w:rPr>
          <w:rFonts w:ascii="宋体" w:hAnsi="宋体" w:cs="宋体"/>
          <w:szCs w:val="21"/>
          <w:lang w:bidi="ar"/>
        </w:rPr>
        <w:fldChar w:fldCharType="end"/>
      </w:r>
      <w:r>
        <w:rPr>
          <w:rFonts w:hint="eastAsia" w:ascii="宋体" w:hAnsi="宋体" w:cs="宋体"/>
          <w:szCs w:val="21"/>
          <w:lang w:bidi="ar"/>
        </w:rPr>
        <w:t>供应商提供假冒伪劣、过期、变质、有毒食品的，一经发现，直接取消该供应商供货资格，并保留通过诉讼等方式追究其法律责任的权利。</w:t>
      </w:r>
    </w:p>
    <w:p w14:paraId="56B6D6DD">
      <w:pPr>
        <w:adjustRightInd w:val="0"/>
        <w:spacing w:line="360" w:lineRule="auto"/>
        <w:ind w:firstLine="420" w:firstLineChars="200"/>
        <w:rPr>
          <w:rFonts w:hint="eastAsia" w:ascii="宋体" w:hAnsi="宋体" w:cs="宋体"/>
          <w:szCs w:val="21"/>
          <w:lang w:bidi="ar"/>
        </w:rPr>
      </w:pPr>
      <w:r>
        <w:rPr>
          <w:rFonts w:ascii="宋体" w:hAnsi="宋体" w:cs="宋体"/>
          <w:szCs w:val="21"/>
          <w:lang w:bidi="ar"/>
        </w:rPr>
        <w:fldChar w:fldCharType="begin"/>
      </w:r>
      <w:r>
        <w:rPr>
          <w:rFonts w:ascii="宋体" w:hAnsi="宋体" w:cs="宋体"/>
          <w:szCs w:val="21"/>
          <w:lang w:bidi="ar"/>
        </w:rPr>
        <w:instrText xml:space="preserve"> </w:instrText>
      </w:r>
      <w:r>
        <w:rPr>
          <w:rFonts w:hint="eastAsia" w:ascii="宋体" w:hAnsi="宋体" w:cs="宋体"/>
          <w:szCs w:val="21"/>
          <w:lang w:bidi="ar"/>
        </w:rPr>
        <w:instrText xml:space="preserve">= 4 \* GB3</w:instrText>
      </w:r>
      <w:r>
        <w:rPr>
          <w:rFonts w:ascii="宋体" w:hAnsi="宋体" w:cs="宋体"/>
          <w:szCs w:val="21"/>
          <w:lang w:bidi="ar"/>
        </w:rPr>
        <w:instrText xml:space="preserve"> </w:instrText>
      </w:r>
      <w:r>
        <w:rPr>
          <w:rFonts w:ascii="宋体" w:hAnsi="宋体" w:cs="宋体"/>
          <w:szCs w:val="21"/>
          <w:lang w:bidi="ar"/>
        </w:rPr>
        <w:fldChar w:fldCharType="separate"/>
      </w:r>
      <w:r>
        <w:rPr>
          <w:rFonts w:hint="eastAsia" w:ascii="宋体" w:hAnsi="宋体" w:cs="宋体"/>
          <w:szCs w:val="21"/>
          <w:lang w:bidi="ar"/>
        </w:rPr>
        <w:t>④</w:t>
      </w:r>
      <w:r>
        <w:rPr>
          <w:rFonts w:ascii="宋体" w:hAnsi="宋体" w:cs="宋体"/>
          <w:szCs w:val="21"/>
          <w:lang w:bidi="ar"/>
        </w:rPr>
        <w:fldChar w:fldCharType="end"/>
      </w:r>
      <w:r>
        <w:rPr>
          <w:rFonts w:hint="eastAsia" w:ascii="宋体" w:hAnsi="宋体" w:cs="宋体"/>
          <w:szCs w:val="21"/>
          <w:lang w:bidi="ar"/>
        </w:rPr>
        <w:t>供应商保证所提供的鲜肉类、生禽、鲜水产、蔬菜种类的多样性和季节性，以保证新鲜感。</w:t>
      </w:r>
    </w:p>
    <w:p w14:paraId="64AE816D">
      <w:pPr>
        <w:pStyle w:val="24"/>
        <w:widowControl w:val="0"/>
        <w:adjustRightInd w:val="0"/>
        <w:spacing w:before="0" w:beforeAutospacing="0" w:after="0" w:afterAutospacing="0" w:line="360" w:lineRule="auto"/>
        <w:ind w:firstLine="420" w:firstLineChars="200"/>
        <w:rPr>
          <w:rFonts w:hint="eastAsia"/>
          <w:kern w:val="2"/>
          <w:sz w:val="21"/>
          <w:szCs w:val="21"/>
          <w:lang w:bidi="ar"/>
        </w:rPr>
      </w:pPr>
      <w:r>
        <w:rPr>
          <w:kern w:val="2"/>
          <w:sz w:val="21"/>
          <w:szCs w:val="21"/>
          <w:lang w:bidi="ar"/>
        </w:rPr>
        <w:fldChar w:fldCharType="begin"/>
      </w:r>
      <w:r>
        <w:rPr>
          <w:kern w:val="2"/>
          <w:sz w:val="21"/>
          <w:szCs w:val="21"/>
          <w:lang w:bidi="ar"/>
        </w:rPr>
        <w:instrText xml:space="preserve"> </w:instrText>
      </w:r>
      <w:r>
        <w:rPr>
          <w:rFonts w:hint="eastAsia"/>
          <w:kern w:val="2"/>
          <w:sz w:val="21"/>
          <w:szCs w:val="21"/>
          <w:lang w:bidi="ar"/>
        </w:rPr>
        <w:instrText xml:space="preserve">= 5 \* GB3</w:instrText>
      </w:r>
      <w:r>
        <w:rPr>
          <w:kern w:val="2"/>
          <w:sz w:val="21"/>
          <w:szCs w:val="21"/>
          <w:lang w:bidi="ar"/>
        </w:rPr>
        <w:instrText xml:space="preserve"> </w:instrText>
      </w:r>
      <w:r>
        <w:rPr>
          <w:kern w:val="2"/>
          <w:sz w:val="21"/>
          <w:szCs w:val="21"/>
          <w:lang w:bidi="ar"/>
        </w:rPr>
        <w:fldChar w:fldCharType="separate"/>
      </w:r>
      <w:r>
        <w:rPr>
          <w:rFonts w:hint="eastAsia"/>
          <w:kern w:val="2"/>
          <w:sz w:val="21"/>
          <w:szCs w:val="21"/>
          <w:lang w:bidi="ar"/>
        </w:rPr>
        <w:t>⑤</w:t>
      </w:r>
      <w:r>
        <w:rPr>
          <w:kern w:val="2"/>
          <w:sz w:val="21"/>
          <w:szCs w:val="21"/>
          <w:lang w:bidi="ar"/>
        </w:rPr>
        <w:fldChar w:fldCharType="end"/>
      </w:r>
      <w:r>
        <w:rPr>
          <w:rFonts w:hint="eastAsia"/>
          <w:kern w:val="2"/>
          <w:sz w:val="21"/>
          <w:szCs w:val="21"/>
          <w:lang w:bidi="ar"/>
        </w:rPr>
        <w:t>如遇临时紧急情况需采买原材料时，供应商应及时响应，积极完成采买工作。</w:t>
      </w:r>
    </w:p>
    <w:p w14:paraId="4A37AEE5">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8.食材定价管理</w:t>
      </w:r>
    </w:p>
    <w:p w14:paraId="57B06232">
      <w:pPr>
        <w:spacing w:line="360" w:lineRule="auto"/>
        <w:ind w:firstLine="420" w:firstLineChars="200"/>
        <w:rPr>
          <w:rFonts w:hint="eastAsia" w:ascii="宋体" w:hAnsi="宋体"/>
          <w:szCs w:val="21"/>
        </w:rPr>
      </w:pPr>
      <w:r>
        <w:rPr>
          <w:rFonts w:hint="eastAsia" w:ascii="宋体" w:hAnsi="宋体"/>
          <w:szCs w:val="21"/>
        </w:rPr>
        <w:t>（1）食材定价以每周乙方提供报价单为准，由甲方审核确认，最终采购价格以甲方和乙方确认后的报价为准。乙方应保证原材料采购价格不高于大型商超、电商平台，所采购原材料按照类别每周/半月/月进行定价并锁价。</w:t>
      </w:r>
    </w:p>
    <w:p w14:paraId="23EEBFF8">
      <w:pPr>
        <w:spacing w:line="360" w:lineRule="auto"/>
        <w:ind w:firstLine="420" w:firstLineChars="200"/>
        <w:rPr>
          <w:rFonts w:hint="eastAsia" w:ascii="宋体" w:hAnsi="宋体"/>
          <w:szCs w:val="21"/>
        </w:rPr>
      </w:pPr>
      <w:r>
        <w:rPr>
          <w:rFonts w:hint="eastAsia" w:ascii="宋体" w:hAnsi="宋体"/>
          <w:szCs w:val="21"/>
        </w:rPr>
        <w:t>（2）食材价格以创价网、新发地批发市场现场询价等市场询价为主进行确认。价格周期是根据品类按照每周/半月/月进行调整。原材料报价中包含运费、原材料损耗、供应商人工、税金等费用，原材料价格综合上浮比例不超过25%。创价网的会员费用由乙方承担。乙方应配合甲方进行原材料市场询价，并起草调研报告。</w:t>
      </w:r>
    </w:p>
    <w:p w14:paraId="215AF3F6">
      <w:pPr>
        <w:spacing w:line="360" w:lineRule="auto"/>
        <w:ind w:firstLine="420" w:firstLineChars="200"/>
        <w:rPr>
          <w:rFonts w:hint="eastAsia" w:ascii="宋体" w:hAnsi="宋体"/>
          <w:szCs w:val="21"/>
        </w:rPr>
      </w:pPr>
      <w:r>
        <w:rPr>
          <w:rFonts w:hint="eastAsia" w:ascii="宋体" w:hAnsi="宋体"/>
          <w:szCs w:val="21"/>
        </w:rPr>
        <w:t>9.食材验收</w:t>
      </w:r>
    </w:p>
    <w:p w14:paraId="6911478D">
      <w:pPr>
        <w:spacing w:line="360" w:lineRule="auto"/>
        <w:ind w:firstLine="420" w:firstLineChars="200"/>
        <w:rPr>
          <w:rFonts w:hint="eastAsia" w:ascii="宋体" w:hAnsi="宋体"/>
          <w:szCs w:val="21"/>
        </w:rPr>
      </w:pPr>
      <w:r>
        <w:rPr>
          <w:rFonts w:hint="eastAsia" w:ascii="宋体" w:hAnsi="宋体"/>
          <w:szCs w:val="21"/>
        </w:rPr>
        <w:t>每日指定时间供应商将原材料送到指定地点，三方（甲方或甲方委托的监管人员、乙方财务和厨师长、供货商）验收，验收内容包括原材料质量、价格、规格、数量、检验检疫报告（肉类）等，确认无误后三方在验收单上签字确认。收货单留存随时备查。</w:t>
      </w:r>
    </w:p>
    <w:p w14:paraId="13917100">
      <w:pPr>
        <w:spacing w:line="360" w:lineRule="auto"/>
        <w:ind w:firstLine="420" w:firstLineChars="200"/>
        <w:rPr>
          <w:rFonts w:hint="eastAsia" w:ascii="宋体" w:hAnsi="宋体"/>
          <w:szCs w:val="21"/>
        </w:rPr>
      </w:pPr>
      <w:r>
        <w:rPr>
          <w:rFonts w:hint="eastAsia" w:ascii="宋体" w:hAnsi="宋体"/>
          <w:szCs w:val="21"/>
        </w:rPr>
        <w:t>10.食材费结算及支付</w:t>
      </w:r>
    </w:p>
    <w:p w14:paraId="58523983">
      <w:pPr>
        <w:spacing w:line="360" w:lineRule="auto"/>
        <w:ind w:firstLine="420" w:firstLineChars="200"/>
        <w:rPr>
          <w:rFonts w:hint="eastAsia" w:ascii="宋体" w:hAnsi="宋体"/>
          <w:szCs w:val="21"/>
        </w:rPr>
      </w:pPr>
      <w:r>
        <w:rPr>
          <w:rFonts w:hint="eastAsia" w:ascii="宋体" w:hAnsi="宋体"/>
          <w:szCs w:val="21"/>
        </w:rPr>
        <w:t>（1）甲方向乙方支付食材费的计算标准：</w:t>
      </w:r>
    </w:p>
    <w:p w14:paraId="0F27010E">
      <w:pPr>
        <w:spacing w:line="360" w:lineRule="auto"/>
        <w:ind w:firstLine="420" w:firstLineChars="200"/>
        <w:rPr>
          <w:rFonts w:hint="eastAsia" w:ascii="宋体" w:hAnsi="宋体"/>
          <w:szCs w:val="21"/>
        </w:rPr>
      </w:pPr>
      <w:r>
        <w:rPr>
          <w:rFonts w:hint="eastAsia" w:ascii="宋体" w:hAnsi="宋体"/>
          <w:szCs w:val="21"/>
        </w:rPr>
        <w:t>改造前：早午餐为餐标×就餐人数，晚餐由乙方后台提取数据交给甲方审核确认后统一结算；</w:t>
      </w:r>
    </w:p>
    <w:p w14:paraId="68A3822D">
      <w:pPr>
        <w:adjustRightInd w:val="0"/>
        <w:spacing w:line="360" w:lineRule="auto"/>
        <w:ind w:firstLine="420" w:firstLineChars="200"/>
        <w:rPr>
          <w:rFonts w:hint="eastAsia" w:ascii="宋体" w:hAnsi="宋体"/>
          <w:b/>
          <w:i/>
          <w:color w:val="FF0000"/>
          <w:szCs w:val="21"/>
          <w:shd w:val="pct10" w:color="auto" w:fill="FFFFFF"/>
        </w:rPr>
      </w:pPr>
      <w:r>
        <w:rPr>
          <w:rFonts w:hint="eastAsia" w:ascii="宋体" w:hAnsi="宋体"/>
          <w:szCs w:val="21"/>
        </w:rPr>
        <w:t>改造后：按乙方</w:t>
      </w:r>
      <w:r>
        <w:rPr>
          <w:rFonts w:hint="eastAsia" w:ascii="宋体" w:hAnsi="宋体" w:cs="仿宋_GB2312"/>
          <w:szCs w:val="21"/>
        </w:rPr>
        <w:t>月度营业额流水据实结算（不包含员工自行充值刷卡部分，员工自行充值刷卡部分直接转入乙方账户），</w:t>
      </w:r>
      <w:r>
        <w:rPr>
          <w:rFonts w:hint="eastAsia" w:ascii="宋体" w:hAnsi="宋体"/>
          <w:szCs w:val="21"/>
        </w:rPr>
        <w:t>晚餐由乙方后台提取数据交给甲方核实后统一结算</w:t>
      </w:r>
      <w:r>
        <w:rPr>
          <w:rFonts w:hint="eastAsia" w:ascii="宋体" w:hAnsi="宋体" w:cs="仿宋_GB2312"/>
          <w:szCs w:val="21"/>
        </w:rPr>
        <w:t>。</w:t>
      </w:r>
    </w:p>
    <w:p w14:paraId="15676871">
      <w:pPr>
        <w:spacing w:line="360" w:lineRule="auto"/>
        <w:ind w:firstLine="420" w:firstLineChars="200"/>
        <w:rPr>
          <w:rFonts w:hint="eastAsia" w:ascii="宋体" w:hAnsi="宋体"/>
          <w:szCs w:val="21"/>
        </w:rPr>
      </w:pPr>
      <w:r>
        <w:rPr>
          <w:rFonts w:hint="eastAsia" w:ascii="宋体" w:hAnsi="宋体"/>
          <w:szCs w:val="21"/>
        </w:rPr>
        <w:t>（2）甲方在乙方提供经甲方事前认可的真实合法有效的增值税专用发票，并经甲方审核确认后的15个工作日内支付采购费用。乙方应当根据甲方的审核流程、标准及要求，积极提供采购单据凭证、出入库记录等资料配合甲方审核。</w:t>
      </w:r>
    </w:p>
    <w:p w14:paraId="1CD1289F">
      <w:pPr>
        <w:spacing w:line="360" w:lineRule="auto"/>
        <w:ind w:firstLine="420" w:firstLineChars="200"/>
        <w:rPr>
          <w:rFonts w:hint="eastAsia" w:ascii="宋体" w:hAnsi="宋体"/>
          <w:szCs w:val="21"/>
        </w:rPr>
      </w:pPr>
      <w:r>
        <w:rPr>
          <w:rFonts w:hint="eastAsia" w:ascii="宋体" w:hAnsi="宋体"/>
          <w:szCs w:val="21"/>
        </w:rPr>
        <w:t>11.乙方应配合甲方做好食材物料的监督管理相关工作，并制定规章制度，杜绝浪费。否则，甲方有权扣除乙方的履约保证金，并有权要求乙方赔偿损失。</w:t>
      </w:r>
    </w:p>
    <w:p w14:paraId="176108F7">
      <w:pPr>
        <w:spacing w:line="360" w:lineRule="auto"/>
        <w:ind w:firstLine="420" w:firstLineChars="200"/>
        <w:rPr>
          <w:rFonts w:hint="eastAsia" w:ascii="宋体" w:hAnsi="宋体"/>
          <w:szCs w:val="21"/>
        </w:rPr>
      </w:pPr>
      <w:r>
        <w:rPr>
          <w:rFonts w:hint="eastAsia" w:ascii="宋体" w:hAnsi="宋体"/>
          <w:szCs w:val="21"/>
        </w:rPr>
        <w:t>12.甲方或甲方委托人员可定期、不定期对食品原材料进行检查。如果乙方违反本合同约定，与未经甲方存档备案的原材料供应商进行交易的，甲方有权终止本合同，同时乙方应赔偿甲方的所有损失。</w:t>
      </w:r>
    </w:p>
    <w:p w14:paraId="238D40BE">
      <w:pPr>
        <w:spacing w:line="360" w:lineRule="auto"/>
        <w:ind w:firstLine="422" w:firstLineChars="200"/>
        <w:rPr>
          <w:rFonts w:hint="eastAsia" w:ascii="宋体" w:hAnsi="宋体"/>
          <w:b/>
          <w:szCs w:val="21"/>
        </w:rPr>
      </w:pPr>
      <w:r>
        <w:rPr>
          <w:rFonts w:hint="eastAsia" w:ascii="宋体" w:hAnsi="宋体"/>
          <w:b/>
          <w:szCs w:val="21"/>
        </w:rPr>
        <w:t>第九条 乙方服务团队配置及人员管理</w:t>
      </w:r>
    </w:p>
    <w:p w14:paraId="1CCBBAA7">
      <w:pPr>
        <w:spacing w:line="360" w:lineRule="auto"/>
        <w:ind w:left="6" w:firstLine="420" w:firstLineChars="200"/>
        <w:rPr>
          <w:rFonts w:hint="eastAsia" w:ascii="宋体" w:hAnsi="宋体"/>
          <w:szCs w:val="21"/>
        </w:rPr>
      </w:pPr>
      <w:r>
        <w:rPr>
          <w:rFonts w:hint="eastAsia" w:ascii="宋体" w:hAnsi="宋体"/>
          <w:szCs w:val="21"/>
        </w:rPr>
        <w:t>1.乙方保证派驻甲方食堂工作的人员不高于（海淀29人、怀柔24人）编制。服务团队岗位分工明确、人员结构合理，工种配置合理，包括项目经理（45岁以下）、厨师长（兼宴会主厨，50岁以下）、财务、库管、采购、前厅经理、食品安全检测员、热菜厨师、风味厨师、冷荤主管、凉菜厨师、面点主管、面点师、切配主管、切配厨师、服务员、洗消工等岗位。厨师团队中一级厨师不得少于1人，二级或三级厨师不得少于8人，具备专业技术资格、擅长制作川、鲁、粤、湘、徽、江浙、东北菜厨师各不得少于1名，具备专业技术资格的面点师不少于8人。乙方配备的人员需具有相应的专业等级证书和有效健康证明，厨师须全部具有厨师证书或相应资格。</w:t>
      </w:r>
    </w:p>
    <w:p w14:paraId="273297E8">
      <w:pPr>
        <w:spacing w:line="360" w:lineRule="auto"/>
        <w:ind w:left="6" w:firstLine="420" w:firstLineChars="200"/>
        <w:rPr>
          <w:rFonts w:hint="eastAsia" w:ascii="宋体" w:hAnsi="宋体"/>
          <w:szCs w:val="21"/>
        </w:rPr>
      </w:pPr>
      <w:r>
        <w:rPr>
          <w:rFonts w:hint="eastAsia" w:ascii="宋体" w:hAnsi="宋体"/>
          <w:szCs w:val="21"/>
        </w:rPr>
        <w:t>2.乙方服务团队年龄：男不超过60岁，女不超过58岁，全体人员平均年龄不超过45岁，50%的服务员年龄不得超过35岁。</w:t>
      </w:r>
    </w:p>
    <w:p w14:paraId="7D103981">
      <w:pPr>
        <w:spacing w:line="360" w:lineRule="auto"/>
        <w:ind w:left="6" w:firstLine="420" w:firstLineChars="200"/>
        <w:rPr>
          <w:rFonts w:hint="eastAsia" w:ascii="宋体" w:hAnsi="宋体"/>
          <w:szCs w:val="21"/>
        </w:rPr>
      </w:pPr>
      <w:r>
        <w:rPr>
          <w:rFonts w:hint="eastAsia" w:ascii="宋体" w:hAnsi="宋体"/>
          <w:szCs w:val="21"/>
        </w:rPr>
        <w:t>3.乙方应保持管理人员、骨干厨师队伍稳定。甲方有权要求更换不合格的工作人员。乙方须根据甲方要求定期从系统内交流经甲方认可的厨师。乙方因特殊情况需更换关键岗位人员（项目经理、厨师长、前厅经理等）和主要厨师的，需获得甲方的书面同意后方可调整。</w:t>
      </w:r>
    </w:p>
    <w:p w14:paraId="6AEE638E">
      <w:pPr>
        <w:spacing w:line="360" w:lineRule="auto"/>
        <w:ind w:left="6" w:firstLine="420" w:firstLineChars="200"/>
        <w:rPr>
          <w:rFonts w:hint="eastAsia" w:ascii="宋体" w:hAnsi="宋体"/>
          <w:szCs w:val="21"/>
        </w:rPr>
      </w:pPr>
      <w:r>
        <w:rPr>
          <w:rFonts w:hint="eastAsia" w:ascii="宋体" w:hAnsi="宋体"/>
          <w:szCs w:val="21"/>
        </w:rPr>
        <w:t>4.乙方应自行承担服务团队人员的劳保、医疗、伤亡、用工、计生、防疫、治安及工资福利、因工作需要所产生的加班等费用和责任。乙方应确保食堂所有工作人员持健康证上岗，并定期对员工体检。乙方</w:t>
      </w:r>
      <w:r>
        <w:rPr>
          <w:rFonts w:hint="eastAsia" w:ascii="宋体" w:hAnsi="宋体" w:cs="宋体"/>
          <w:szCs w:val="21"/>
          <w:lang w:bidi="ar"/>
        </w:rPr>
        <w:t>进场时须提供所有员工健康证原件、身份证复印件、厨师证书复印件。</w:t>
      </w:r>
    </w:p>
    <w:p w14:paraId="4C2C6E17">
      <w:pPr>
        <w:spacing w:line="360" w:lineRule="auto"/>
        <w:ind w:left="6" w:firstLine="420" w:firstLineChars="200"/>
        <w:rPr>
          <w:rFonts w:hint="eastAsia" w:ascii="宋体" w:hAnsi="宋体"/>
          <w:szCs w:val="21"/>
        </w:rPr>
      </w:pPr>
      <w:r>
        <w:rPr>
          <w:rFonts w:hint="eastAsia" w:ascii="宋体" w:hAnsi="宋体"/>
          <w:szCs w:val="21"/>
        </w:rPr>
        <w:t>5.为保障早餐，乙方50%以上人员租住在距离本项目步行15分钟以内的区域。</w:t>
      </w:r>
    </w:p>
    <w:p w14:paraId="20566E21">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val="zh-CN" w:bidi="ar"/>
        </w:rPr>
        <w:t>6.</w:t>
      </w:r>
      <w:r>
        <w:rPr>
          <w:rFonts w:hint="eastAsia" w:ascii="宋体" w:hAnsi="宋体" w:cs="宋体"/>
          <w:szCs w:val="21"/>
          <w:lang w:bidi="ar"/>
        </w:rPr>
        <w:t>乙方须制定并执行服务团队人员招聘、绩效考核、薪酬管理、人员日常管理、培训等相关制度，</w:t>
      </w:r>
      <w:r>
        <w:rPr>
          <w:rFonts w:hint="eastAsia" w:ascii="宋体" w:hAnsi="宋体" w:cs="宋体"/>
          <w:szCs w:val="21"/>
          <w:lang w:val="en-US" w:eastAsia="zh-CN" w:bidi="ar"/>
        </w:rPr>
        <w:t>并</w:t>
      </w:r>
      <w:r>
        <w:rPr>
          <w:rFonts w:hint="eastAsia" w:ascii="宋体" w:hAnsi="宋体" w:cs="宋体"/>
          <w:szCs w:val="21"/>
          <w:lang w:val="zh-CN" w:bidi="ar"/>
        </w:rPr>
        <w:t>定期组织各种业务培训，加强日常管理，</w:t>
      </w:r>
      <w:r>
        <w:rPr>
          <w:rFonts w:hint="eastAsia" w:ascii="宋体" w:hAnsi="宋体" w:cs="宋体"/>
          <w:szCs w:val="21"/>
          <w:lang w:bidi="ar"/>
        </w:rPr>
        <w:t>人员上岗培训率达100%。</w:t>
      </w:r>
    </w:p>
    <w:p w14:paraId="7E492B98">
      <w:pPr>
        <w:adjustRightInd w:val="0"/>
        <w:spacing w:line="360" w:lineRule="auto"/>
        <w:ind w:firstLine="422" w:firstLineChars="200"/>
        <w:rPr>
          <w:rFonts w:hint="eastAsia" w:ascii="宋体" w:hAnsi="宋体"/>
          <w:b/>
          <w:szCs w:val="21"/>
        </w:rPr>
      </w:pPr>
      <w:r>
        <w:rPr>
          <w:rFonts w:hint="eastAsia" w:ascii="宋体" w:hAnsi="宋体"/>
          <w:b/>
          <w:szCs w:val="21"/>
        </w:rPr>
        <w:t>第十条 甲方的权利义务</w:t>
      </w:r>
    </w:p>
    <w:p w14:paraId="5330F798">
      <w:pPr>
        <w:spacing w:line="360" w:lineRule="auto"/>
        <w:ind w:firstLine="420" w:firstLineChars="200"/>
        <w:rPr>
          <w:rFonts w:hint="eastAsia" w:ascii="宋体" w:hAnsi="宋体"/>
          <w:szCs w:val="21"/>
        </w:rPr>
      </w:pPr>
      <w:r>
        <w:rPr>
          <w:rFonts w:hint="eastAsia" w:ascii="宋体" w:hAnsi="宋体"/>
          <w:szCs w:val="21"/>
        </w:rPr>
        <w:t>1.甲方或甲方委托人员有权对乙方安全生产、日常管理、财务、采购、食材、供餐、价格、服务等进行监督检查审计，乙方应认真配合。甲方认为乙方的任何行为有不符合法律规定或双方合同约定之处，乙方应立即进行自查，并在甲方指定的期限内整改完毕，否则应依照相关法律法规和双方约定承担责任。</w:t>
      </w:r>
    </w:p>
    <w:p w14:paraId="515C7232">
      <w:pPr>
        <w:spacing w:line="360" w:lineRule="auto"/>
        <w:ind w:firstLine="420" w:firstLineChars="200"/>
        <w:rPr>
          <w:rFonts w:hint="eastAsia" w:ascii="宋体" w:hAnsi="宋体"/>
          <w:szCs w:val="21"/>
        </w:rPr>
      </w:pPr>
      <w:bookmarkStart w:id="52" w:name="_Hlk170400854"/>
      <w:r>
        <w:rPr>
          <w:rFonts w:hint="eastAsia" w:ascii="宋体" w:hAnsi="宋体"/>
          <w:szCs w:val="21"/>
        </w:rPr>
        <w:t>2.甲方或甲方委托人员将不定期进行市场调研，若乙方采购的食品原材料价格高于市场同品质食品原材料价格，甲方有权按照市场价格与乙方进行结算；合同期发生三次及以上，甲方有权取消食材委托采购。</w:t>
      </w:r>
    </w:p>
    <w:p w14:paraId="43F283C5">
      <w:pPr>
        <w:spacing w:line="360" w:lineRule="auto"/>
        <w:ind w:firstLine="420" w:firstLineChars="200"/>
        <w:rPr>
          <w:rFonts w:hint="eastAsia" w:ascii="宋体" w:hAnsi="宋体"/>
          <w:szCs w:val="21"/>
        </w:rPr>
      </w:pPr>
      <w:r>
        <w:rPr>
          <w:rFonts w:hint="eastAsia" w:ascii="宋体" w:hAnsi="宋体"/>
          <w:szCs w:val="21"/>
        </w:rPr>
        <w:t>3.甲方有重大活动时，向乙方提出变更就餐时间，乙方应予以积极配合，并须准时开餐，做到饭热菜香。如因乙方原因造成的延误开餐，乙方负全部责任。</w:t>
      </w:r>
    </w:p>
    <w:p w14:paraId="647C7511">
      <w:pPr>
        <w:spacing w:line="360" w:lineRule="auto"/>
        <w:ind w:firstLine="420" w:firstLineChars="200"/>
        <w:rPr>
          <w:rFonts w:hint="eastAsia" w:ascii="宋体" w:hAnsi="宋体"/>
          <w:szCs w:val="21"/>
        </w:rPr>
      </w:pPr>
      <w:r>
        <w:rPr>
          <w:rFonts w:hint="eastAsia" w:ascii="宋体" w:hAnsi="宋体"/>
          <w:szCs w:val="21"/>
        </w:rPr>
        <w:t>4.甲方不负责非甲方原因引起的致使乙方服务中断或失误而造成的设施、设备、用具和食品（包括食材、物料）的库存损失。</w:t>
      </w:r>
    </w:p>
    <w:p w14:paraId="78823DE3">
      <w:pPr>
        <w:spacing w:line="360" w:lineRule="auto"/>
        <w:ind w:firstLine="420" w:firstLineChars="200"/>
        <w:rPr>
          <w:rFonts w:hint="eastAsia" w:ascii="宋体" w:hAnsi="宋体"/>
          <w:szCs w:val="21"/>
        </w:rPr>
      </w:pPr>
      <w:r>
        <w:rPr>
          <w:rFonts w:hint="eastAsia" w:ascii="宋体" w:hAnsi="宋体"/>
          <w:szCs w:val="21"/>
        </w:rPr>
        <w:t>5.甲方（或甲方委托的</w:t>
      </w:r>
      <w:r>
        <w:rPr>
          <w:rFonts w:hint="eastAsia" w:ascii="宋体" w:hAnsi="宋体"/>
          <w:szCs w:val="21"/>
          <w:lang w:val="en-US" w:eastAsia="zh-CN"/>
        </w:rPr>
        <w:t>管理机构</w:t>
      </w:r>
      <w:r>
        <w:rPr>
          <w:rFonts w:hint="eastAsia" w:ascii="宋体" w:hAnsi="宋体"/>
          <w:szCs w:val="21"/>
        </w:rPr>
        <w:t>）保证乙方服务所需的水、电、燃气的正常供应（特殊情况例外），并负责除乙方原因造成的水、电、燃气供给故障检修。甲方提供食堂和操作间，提供基础的餐饮设施、设备、用具、餐具；甲方提供办公用房1间；甲方负责协调为乙方出入</w:t>
      </w:r>
      <w:r>
        <w:rPr>
          <w:rFonts w:hint="eastAsia" w:ascii="宋体" w:hAnsi="宋体"/>
          <w:szCs w:val="21"/>
          <w:lang w:val="en-US" w:eastAsia="zh-CN"/>
        </w:rPr>
        <w:t>中国机械总院</w:t>
      </w:r>
      <w:r>
        <w:rPr>
          <w:rFonts w:hint="eastAsia" w:ascii="宋体" w:hAnsi="宋体"/>
          <w:szCs w:val="21"/>
        </w:rPr>
        <w:t>的车辆和人员办理有效通行证件。本合同签订后甲乙双方办理食堂移交时，双方共同在一览表上签字确认，服务期满时，乙方应据此如数交还给甲方。</w:t>
      </w:r>
    </w:p>
    <w:p w14:paraId="066BE023">
      <w:pPr>
        <w:adjustRightInd w:val="0"/>
        <w:spacing w:line="360" w:lineRule="auto"/>
        <w:ind w:firstLine="420" w:firstLineChars="200"/>
        <w:rPr>
          <w:rFonts w:hint="eastAsia" w:ascii="宋体" w:hAnsi="宋体" w:cs="宋体"/>
          <w:szCs w:val="21"/>
          <w:lang w:bidi="ar"/>
        </w:rPr>
      </w:pPr>
      <w:r>
        <w:rPr>
          <w:rFonts w:hint="eastAsia" w:ascii="宋体" w:hAnsi="宋体" w:cs="宋体"/>
          <w:szCs w:val="21"/>
          <w:lang w:bidi="ar"/>
        </w:rPr>
        <w:t>6.甲方（或甲方委托的</w:t>
      </w:r>
      <w:r>
        <w:rPr>
          <w:rFonts w:hint="eastAsia" w:ascii="宋体" w:hAnsi="宋体" w:cs="宋体"/>
          <w:szCs w:val="21"/>
          <w:lang w:val="en-US" w:eastAsia="zh-CN" w:bidi="ar"/>
        </w:rPr>
        <w:t>管理机构</w:t>
      </w:r>
      <w:r>
        <w:rPr>
          <w:rFonts w:hint="eastAsia" w:ascii="宋体" w:hAnsi="宋体" w:cs="宋体"/>
          <w:szCs w:val="21"/>
          <w:lang w:bidi="ar"/>
        </w:rPr>
        <w:t>）保证食堂内空调、供暖、照明的正常使用，并负责该类设备的维修、保养（因乙方原因造成故障的除外）。</w:t>
      </w:r>
    </w:p>
    <w:p w14:paraId="6F47E773">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7.方有权随时委派代表在非就餐高峰期对餐厅进行检查，检查的项目包括但不限于食品成本、标准菜单、原材料采购的单价、数量及质量、入（出）库记录及消耗、库存量、实际投料数量及比例、分发量、餐厅卫生及有关记录和食品价格及当月账目等，乙方应为甲方检查提供便利且不得拒绝甲方检查。</w:t>
      </w:r>
    </w:p>
    <w:p w14:paraId="64DF605E">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8.甲方有权定期或不定期与乙方召开有关工作会议，并要求乙方现场管理人员或主要负责人员参加，有权要求乙方限期改正，更换不合格的工作人员。</w:t>
      </w:r>
    </w:p>
    <w:p w14:paraId="2185B57F">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9.甲方有权根据实际情况随时提出口头或者书面的具体服务要求，有权要求调整和改进本合同规定的服务要求，并要求乙方按照甲方要求制定工作细则并落实到位。</w:t>
      </w:r>
    </w:p>
    <w:p w14:paraId="16C09B60">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10.甲方经检查发现乙方工作不符合合同规定或者法律规定的，有权要求乙方限时整改。经甲方两次通知乙方整改，乙方仍未能达到甲方要求的情况下，甲方有权立即终止本合同并不需要承担任何责任，由此产生的一切损失由乙方承担。</w:t>
      </w:r>
    </w:p>
    <w:p w14:paraId="554C7182">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11.甲方有权随时安排进行满意度调查，调查对象、调查方式、统计方法由双方共同协商最终应经过甲方认可后执行，如满意率不足80％的，甲方有权要求乙方限时整改，如整改后仍未达到上述标准，甲方有权终止合同，同时不需要承担任何责任，由此产生的一切损失由乙方承担。</w:t>
      </w:r>
    </w:p>
    <w:p w14:paraId="61D70B75">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12.甲方发现乙方有关服务工作存在问题的，甲方有权随时进行书面记录，并要求乙方现场人员签字确认。</w:t>
      </w:r>
    </w:p>
    <w:p w14:paraId="0F1DA295">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13.甲方有权要求查看并复制乙方与其服务人员签订的劳动和/或劳务合同、上岗证、健康证、资格证等，以及乙方人员的个人简历。</w:t>
      </w:r>
    </w:p>
    <w:p w14:paraId="38025B7E">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14.甲方应协助乙方共同做好防止员工就餐食品浪费问题的发生。</w:t>
      </w:r>
    </w:p>
    <w:p w14:paraId="6DB0E44F">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15.甲方负责办理卫生、环保等相关手续。如遇特殊原因暂不能提供，乙方是否驻场提供服务应以甲方指令为准，乙方不得以此为由拒绝提供相关服务并提出索赔。在此期间甲方应按合同约定标准继续支付服务费。</w:t>
      </w:r>
    </w:p>
    <w:p w14:paraId="0FAC8682">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16.甲方应教育自己的员工文明就餐、节约用餐，爱护甲乙双方财产，尊重乙方工作人员的劳动成果。</w:t>
      </w:r>
    </w:p>
    <w:p w14:paraId="4A4CA356">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17.合同期间，乙方在餐厅中添加设施、设备或进行改造装修须事先征得甲方书面同意并确认费用金额；添置设施、设备或改造装修的费用由甲方支付；相关发票由乙方或提供服务的第三方向甲方提供。</w:t>
      </w:r>
    </w:p>
    <w:p w14:paraId="54E880B0">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18.甲方负责审定乙方编制的餐饮服务方案、年度管理计划、年度维修养护计划、相关费用预算和需报批的餐饮价格调整等工作方案，对乙方参与的采购、存储、加工、销售等环节的餐饮服务工作进行监督。甲方有权按照合同约定和法律规定的标准规范，对乙方实施的餐饮管理提出修改和变更建议。</w:t>
      </w:r>
    </w:p>
    <w:p w14:paraId="1F9BD365">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19.甲方负责审核乙方上报的甲方员工餐厅固定资产配置、甲方员工餐厅装修改造、大中修及专项维修等工作方案。</w:t>
      </w:r>
    </w:p>
    <w:p w14:paraId="175C5862">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20.甲方有权核查餐饮服务费用的收支情况，并对餐饮服务成本进行审核。</w:t>
      </w:r>
    </w:p>
    <w:p w14:paraId="340AE6B6">
      <w:pPr>
        <w:adjustRightInd w:val="0"/>
        <w:spacing w:line="360" w:lineRule="auto"/>
        <w:ind w:firstLine="420" w:firstLineChars="200"/>
        <w:rPr>
          <w:rFonts w:hint="eastAsia" w:ascii="宋体" w:hAnsi="宋体" w:cs="宋体"/>
          <w:szCs w:val="21"/>
          <w:lang w:val="en-US" w:eastAsia="zh-CN" w:bidi="ar"/>
        </w:rPr>
      </w:pPr>
      <w:r>
        <w:rPr>
          <w:rFonts w:hint="eastAsia" w:ascii="宋体" w:hAnsi="宋体" w:cs="宋体"/>
          <w:szCs w:val="21"/>
          <w:lang w:val="en-US" w:eastAsia="zh-CN" w:bidi="ar"/>
        </w:rPr>
        <w:t>21.甲方有权对乙方的节能工作进行指导，下达年度餐饮服务区域节能指标，督促乙方开展节能管理，提高用能设施设备能源利用效率。</w:t>
      </w:r>
    </w:p>
    <w:p w14:paraId="163C346D">
      <w:pPr>
        <w:adjustRightInd w:val="0"/>
        <w:spacing w:line="360" w:lineRule="auto"/>
        <w:ind w:firstLine="420" w:firstLineChars="200"/>
        <w:rPr>
          <w:rFonts w:hint="default" w:ascii="宋体" w:hAnsi="宋体" w:eastAsia="宋体" w:cs="宋体"/>
          <w:szCs w:val="21"/>
          <w:lang w:val="en-US" w:eastAsia="zh-CN" w:bidi="ar"/>
        </w:rPr>
      </w:pPr>
      <w:r>
        <w:rPr>
          <w:rFonts w:hint="eastAsia" w:ascii="宋体" w:hAnsi="宋体" w:cs="宋体"/>
          <w:szCs w:val="21"/>
          <w:lang w:val="en-US" w:eastAsia="zh-CN" w:bidi="ar"/>
        </w:rPr>
        <w:t>22.甲方有权根据有关部门的要求，指导、协调乙方妥善处理与餐饮服务区域相关的控烟、卫生等工作。</w:t>
      </w:r>
    </w:p>
    <w:bookmarkEnd w:id="52"/>
    <w:p w14:paraId="1B7DBFF3">
      <w:pPr>
        <w:spacing w:line="360" w:lineRule="auto"/>
        <w:ind w:firstLine="422" w:firstLineChars="200"/>
        <w:rPr>
          <w:rFonts w:hint="eastAsia" w:ascii="宋体" w:hAnsi="宋体"/>
          <w:b/>
          <w:szCs w:val="21"/>
        </w:rPr>
      </w:pPr>
      <w:r>
        <w:rPr>
          <w:rFonts w:hint="eastAsia" w:ascii="宋体" w:hAnsi="宋体"/>
          <w:b/>
          <w:szCs w:val="21"/>
        </w:rPr>
        <w:t>第十一条 乙方的权利义务</w:t>
      </w:r>
    </w:p>
    <w:p w14:paraId="039BD4F3">
      <w:pPr>
        <w:spacing w:line="360" w:lineRule="auto"/>
        <w:ind w:left="6" w:firstLine="420" w:firstLineChars="200"/>
        <w:rPr>
          <w:rFonts w:hint="eastAsia" w:ascii="宋体" w:hAnsi="宋体"/>
          <w:szCs w:val="21"/>
        </w:rPr>
      </w:pPr>
      <w:bookmarkStart w:id="53" w:name="_Hlk170401134"/>
      <w:r>
        <w:rPr>
          <w:rFonts w:hint="eastAsia" w:ascii="宋体" w:hAnsi="宋体"/>
          <w:szCs w:val="21"/>
          <w:lang w:val="en-US" w:eastAsia="zh-CN"/>
        </w:rPr>
        <w:t>1.</w:t>
      </w:r>
      <w:r>
        <w:rPr>
          <w:rFonts w:hint="eastAsia" w:ascii="宋体" w:hAnsi="宋体"/>
          <w:szCs w:val="21"/>
        </w:rPr>
        <w:t>乙方负责提供食品制作、餐厅运营等服务，按合同约定为甲方人员及甲方指定人员提供工作日或周末及法定节假日（视甲方要求而定）的餐饮及相关服务，包括早餐、午餐、晚餐，公务接待客饭服务。乙方制作的各餐必须保证干净、卫生、无害、无异物。</w:t>
      </w:r>
    </w:p>
    <w:p w14:paraId="1611997E">
      <w:pPr>
        <w:spacing w:line="360" w:lineRule="auto"/>
        <w:ind w:left="6"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乙方有权要求甲方按时支付餐饮服务费。</w:t>
      </w:r>
    </w:p>
    <w:p w14:paraId="4E036B82">
      <w:pPr>
        <w:spacing w:line="360" w:lineRule="auto"/>
        <w:ind w:left="6"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乙方制作或采购的食品、食品添加剂、食品相关产品不得含有农药残留、兽药残留、生物毒素、重金属等污染物质以及其他危害人体健康的物质。</w:t>
      </w:r>
    </w:p>
    <w:p w14:paraId="0B84BE79">
      <w:pPr>
        <w:spacing w:line="360" w:lineRule="auto"/>
        <w:ind w:left="6"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乙方制作或采购的食品、食品添加剂、食品相关产品不得腐败变质、油脂酸败、霉变生虫、污秽不洁、混有异物、掺假掺杂或者有其他感官性状异常。</w:t>
      </w:r>
    </w:p>
    <w:p w14:paraId="1B9C0593">
      <w:pPr>
        <w:spacing w:line="360" w:lineRule="auto"/>
        <w:ind w:left="6"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乙方应在本合同约定的服务期限内全程导入食品安全管理体系、ISO9001质量体系、ISO14001环境体系、OHSAS18001职业健康与安全体系认证标准，并严格按照餐饮业食品卫生管理办法及有关规定执行；乙方应当遵守有关餐饮管理服务及食品安全的所有法律、法规、规章、政策和各类国家及地方标准规范、行业标准规范、企业标准规范。</w:t>
      </w:r>
    </w:p>
    <w:p w14:paraId="27429035">
      <w:pPr>
        <w:spacing w:line="360" w:lineRule="auto"/>
        <w:ind w:left="6"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乙方保证所制作的食品及其操作程序严格按国家《食品安全法》、《环境保护法》及北京市防疫部门标准执行。禁止供应未经卫生防疫部门检查的各类食品。</w:t>
      </w:r>
    </w:p>
    <w:p w14:paraId="627FEED5">
      <w:pPr>
        <w:spacing w:line="360" w:lineRule="auto"/>
        <w:ind w:left="6"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在餐饮服务交接时，乙方应对所涉及的相关档案资料、设施设备、餐饮服务所需固定资产等进行查验,并做好书面确认工作；对所有图、档、卡、册等资料应做好建档工作。甲方提供的各类资料以及配置的设备和设施等，乙方进驻时应清点并制作清单，经甲方签字确认后进行交接；终止合同后，上述设备设施乙方应如数完好交还甲方（甲方签字确认予以认可的损耗除外），因为乙方的责任造成甲方设备和设施损坏的，乙方应按照合同终止时的市价赔偿。</w:t>
      </w:r>
    </w:p>
    <w:p w14:paraId="266BA9A9">
      <w:pPr>
        <w:spacing w:line="360" w:lineRule="auto"/>
        <w:ind w:left="6"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乙方对所管理的甲方员工餐厅设施设备及相关固定资产实施有效管理，合理控制损耗，降低运营成本。</w:t>
      </w:r>
    </w:p>
    <w:p w14:paraId="2C733EF6">
      <w:pPr>
        <w:spacing w:line="360" w:lineRule="auto"/>
        <w:ind w:left="6"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乙方应确保按照乙方承诺的及本合同约定的工作流程、操作流程和管理流程提供服务工作。</w:t>
      </w:r>
    </w:p>
    <w:p w14:paraId="44E19870">
      <w:pPr>
        <w:spacing w:line="360" w:lineRule="auto"/>
        <w:ind w:left="6"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乙方应制定餐饮服务的各项管理制度及应急预案，建立餐饮服务项目的各项管理档案。</w:t>
      </w:r>
    </w:p>
    <w:p w14:paraId="58B909DF">
      <w:pPr>
        <w:spacing w:line="360" w:lineRule="auto"/>
        <w:ind w:left="6"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乙方在满足就餐人员要求的基础上，可以另行开展服务，超出本合同约定服务范围的服务应事先书面报甲方批准。乙方可提供熟食、主食外卖供甲方人员选购，定价标准由甲方视需求另行规定。</w:t>
      </w:r>
    </w:p>
    <w:p w14:paraId="7E646BAD">
      <w:pPr>
        <w:spacing w:line="360" w:lineRule="auto"/>
        <w:ind w:left="6" w:firstLine="420" w:firstLineChars="200"/>
        <w:rPr>
          <w:rFonts w:hint="eastAsia" w:ascii="宋体" w:hAnsi="宋体"/>
          <w:szCs w:val="21"/>
        </w:rPr>
      </w:pPr>
      <w:r>
        <w:rPr>
          <w:rFonts w:hint="eastAsia" w:ascii="宋体" w:hAnsi="宋体"/>
          <w:szCs w:val="21"/>
          <w:lang w:val="en-US" w:eastAsia="zh-CN"/>
        </w:rPr>
        <w:t>12.</w:t>
      </w:r>
      <w:r>
        <w:rPr>
          <w:rFonts w:hint="eastAsia" w:ascii="宋体" w:hAnsi="宋体"/>
          <w:szCs w:val="21"/>
        </w:rPr>
        <w:t>乙方设立专门项目组负责本合同餐饮服务的日常管理工作，并委派具备符合餐饮服务岗位资格和健康要求的人员履行本合同，如需调整管理人员及服务骨干应事先通报甲方，对甲方提出认为不适合的在岗人员应在接到甲方变更要求后及时作出调整。乙方应保证其工作人员遵守有关餐饮服务的各项法律规定，遵守甲方各项规章制度及管理规定，应加强安全管理，并确保节水、节电。</w:t>
      </w:r>
    </w:p>
    <w:p w14:paraId="6D452CD1">
      <w:pPr>
        <w:spacing w:line="360" w:lineRule="auto"/>
        <w:ind w:left="6" w:firstLine="420" w:firstLineChars="200"/>
        <w:rPr>
          <w:rFonts w:hint="eastAsia" w:ascii="宋体" w:hAnsi="宋体"/>
          <w:szCs w:val="21"/>
        </w:rPr>
      </w:pPr>
      <w:r>
        <w:rPr>
          <w:rFonts w:hint="eastAsia" w:ascii="宋体" w:hAnsi="宋体"/>
          <w:szCs w:val="21"/>
          <w:lang w:val="en-US" w:eastAsia="zh-CN"/>
        </w:rPr>
        <w:t>13.</w:t>
      </w:r>
      <w:r>
        <w:rPr>
          <w:rFonts w:hint="eastAsia" w:ascii="宋体" w:hAnsi="宋体"/>
          <w:szCs w:val="21"/>
        </w:rPr>
        <w:t>乙方应对甲方的要求和建议做出令甲方满意的响应，包括但不限于调整服务内容或方式、限期整改等。</w:t>
      </w:r>
    </w:p>
    <w:p w14:paraId="6BD61B6A">
      <w:pPr>
        <w:spacing w:line="360" w:lineRule="auto"/>
        <w:ind w:left="6" w:firstLine="420" w:firstLineChars="200"/>
        <w:rPr>
          <w:rFonts w:hint="eastAsia" w:ascii="宋体" w:hAnsi="宋体"/>
          <w:szCs w:val="21"/>
        </w:rPr>
      </w:pPr>
      <w:r>
        <w:rPr>
          <w:rFonts w:hint="eastAsia" w:ascii="宋体" w:hAnsi="宋体"/>
          <w:szCs w:val="21"/>
          <w:lang w:val="en-US" w:eastAsia="zh-CN"/>
        </w:rPr>
        <w:t>14.</w:t>
      </w:r>
      <w:r>
        <w:rPr>
          <w:rFonts w:hint="eastAsia" w:ascii="宋体" w:hAnsi="宋体"/>
          <w:szCs w:val="21"/>
        </w:rPr>
        <w:t>乙方应自觉接受甲方的监督检查，定期提出餐饮服务改善计划，不断提升餐饮服务质量。</w:t>
      </w:r>
    </w:p>
    <w:p w14:paraId="194D8BA6">
      <w:pPr>
        <w:spacing w:line="360" w:lineRule="auto"/>
        <w:ind w:left="6" w:firstLine="420" w:firstLineChars="200"/>
        <w:rPr>
          <w:rFonts w:hint="eastAsia" w:ascii="宋体" w:hAnsi="宋体"/>
          <w:szCs w:val="21"/>
        </w:rPr>
      </w:pPr>
      <w:r>
        <w:rPr>
          <w:rFonts w:hint="eastAsia" w:ascii="宋体" w:hAnsi="宋体"/>
          <w:szCs w:val="21"/>
          <w:lang w:val="en-US" w:eastAsia="zh-CN"/>
        </w:rPr>
        <w:t>15.</w:t>
      </w:r>
      <w:r>
        <w:rPr>
          <w:rFonts w:hint="eastAsia" w:ascii="宋体" w:hAnsi="宋体"/>
          <w:szCs w:val="21"/>
        </w:rPr>
        <w:t>乙方运货（包括垃圾清运）应按甲方指定的通道和电梯运送，并保证在运输过程中保持地面清洁、设施设备完好。</w:t>
      </w:r>
    </w:p>
    <w:p w14:paraId="237135F0">
      <w:pPr>
        <w:spacing w:line="360" w:lineRule="auto"/>
        <w:ind w:left="6" w:firstLine="420" w:firstLineChars="200"/>
        <w:rPr>
          <w:rFonts w:hint="eastAsia" w:ascii="宋体" w:hAnsi="宋体"/>
          <w:szCs w:val="21"/>
        </w:rPr>
      </w:pPr>
      <w:r>
        <w:rPr>
          <w:rFonts w:hint="eastAsia" w:ascii="宋体" w:hAnsi="宋体"/>
          <w:szCs w:val="21"/>
          <w:lang w:val="en-US" w:eastAsia="zh-CN"/>
        </w:rPr>
        <w:t>16.</w:t>
      </w:r>
      <w:r>
        <w:rPr>
          <w:rFonts w:hint="eastAsia" w:ascii="宋体" w:hAnsi="宋体"/>
          <w:szCs w:val="21"/>
        </w:rPr>
        <w:t>乙方负责用餐所需餐具、用具的洗涤、消毒，一切由于食品及餐具、用具不符合卫生标准和质量问题引发的事故皆由乙方负全部责任。</w:t>
      </w:r>
    </w:p>
    <w:p w14:paraId="45B83291">
      <w:pPr>
        <w:spacing w:line="360" w:lineRule="auto"/>
        <w:ind w:left="6" w:firstLine="420" w:firstLineChars="200"/>
        <w:rPr>
          <w:rFonts w:hint="eastAsia" w:ascii="宋体" w:hAnsi="宋体"/>
          <w:szCs w:val="21"/>
        </w:rPr>
      </w:pPr>
      <w:r>
        <w:rPr>
          <w:rFonts w:hint="eastAsia" w:ascii="宋体" w:hAnsi="宋体"/>
          <w:szCs w:val="21"/>
          <w:lang w:val="en-US" w:eastAsia="zh-CN"/>
        </w:rPr>
        <w:t>17.</w:t>
      </w:r>
      <w:r>
        <w:rPr>
          <w:rFonts w:hint="eastAsia" w:ascii="宋体" w:hAnsi="宋体"/>
          <w:szCs w:val="21"/>
        </w:rPr>
        <w:t>当甲方就餐员工用餐时发现餐品不干净、不卫生或者吃出异物时，乙方应第一时间报告给甲方相关负责人员并妥善处理，保留好餐品剩留物，因此给就餐员工造成身体损害的，由乙方承担全部赔偿责任。</w:t>
      </w:r>
    </w:p>
    <w:p w14:paraId="0DC15B9A">
      <w:pPr>
        <w:spacing w:line="360" w:lineRule="auto"/>
        <w:ind w:left="6" w:firstLine="420" w:firstLineChars="200"/>
        <w:rPr>
          <w:rFonts w:hint="eastAsia" w:ascii="宋体" w:hAnsi="宋体"/>
          <w:szCs w:val="21"/>
        </w:rPr>
      </w:pPr>
      <w:r>
        <w:rPr>
          <w:rFonts w:hint="eastAsia" w:ascii="宋体" w:hAnsi="宋体"/>
          <w:szCs w:val="21"/>
          <w:lang w:val="en-US" w:eastAsia="zh-CN"/>
        </w:rPr>
        <w:t>18.</w:t>
      </w:r>
      <w:r>
        <w:rPr>
          <w:rFonts w:hint="eastAsia" w:ascii="宋体" w:hAnsi="宋体"/>
          <w:szCs w:val="21"/>
        </w:rPr>
        <w:t>乙方应对供餐区域内的食品安全、消防等突发事件进行应急处理，并及时通知甲方监管人员，及时提交各类重大和突发事件的处理报告。</w:t>
      </w:r>
    </w:p>
    <w:p w14:paraId="7FD6F0AF">
      <w:pPr>
        <w:spacing w:line="360" w:lineRule="auto"/>
        <w:ind w:left="6" w:firstLine="420" w:firstLineChars="200"/>
        <w:rPr>
          <w:rFonts w:hint="eastAsia" w:ascii="宋体" w:hAnsi="宋体"/>
          <w:szCs w:val="21"/>
        </w:rPr>
      </w:pPr>
      <w:r>
        <w:rPr>
          <w:rFonts w:hint="eastAsia" w:ascii="宋体" w:hAnsi="宋体"/>
          <w:szCs w:val="21"/>
          <w:lang w:val="en-US" w:eastAsia="zh-CN"/>
        </w:rPr>
        <w:t>19.</w:t>
      </w:r>
      <w:r>
        <w:rPr>
          <w:rFonts w:hint="eastAsia" w:ascii="宋体" w:hAnsi="宋体"/>
          <w:szCs w:val="21"/>
        </w:rPr>
        <w:t>未经甲方书面同意，乙方不得擅自停止营业。如甲方要求，乙方应提供法定节假日餐饮服务，相关加班服务费用由甲乙双方另行协商。</w:t>
      </w:r>
    </w:p>
    <w:p w14:paraId="09291C90">
      <w:pPr>
        <w:spacing w:line="360" w:lineRule="auto"/>
        <w:ind w:left="6" w:firstLine="420" w:firstLineChars="200"/>
        <w:rPr>
          <w:rFonts w:hint="eastAsia" w:ascii="宋体" w:hAnsi="宋体"/>
          <w:szCs w:val="21"/>
        </w:rPr>
      </w:pPr>
      <w:r>
        <w:rPr>
          <w:rFonts w:hint="eastAsia" w:ascii="宋体" w:hAnsi="宋体"/>
          <w:szCs w:val="21"/>
          <w:lang w:val="en-US" w:eastAsia="zh-CN"/>
        </w:rPr>
        <w:t>20.</w:t>
      </w:r>
      <w:r>
        <w:rPr>
          <w:rFonts w:hint="eastAsia" w:ascii="宋体" w:hAnsi="宋体"/>
          <w:szCs w:val="21"/>
        </w:rPr>
        <w:t>未经甲方事先书面同意，乙方不得委托任何第三方代为履行本合同项下的任何部分，也不得改变甲方提供的房屋、厨房设备及配套设施设备的用途，不得改变或破坏餐厅的结构，因履行合同需在本项目范围内实施甲方员工餐厅改扩建或完善配套项目的，应报甲方书面审批同意后，方可实施，否则甲方有权提前终止合同，由此产生的一切后果和损失全部由乙方承担，乙方并应向甲方支付相应损失的违约金。</w:t>
      </w:r>
    </w:p>
    <w:p w14:paraId="732F9C3E">
      <w:pPr>
        <w:spacing w:line="360" w:lineRule="auto"/>
        <w:ind w:left="6" w:firstLine="420" w:firstLineChars="200"/>
        <w:rPr>
          <w:rFonts w:hint="eastAsia" w:ascii="宋体" w:hAnsi="宋体"/>
          <w:szCs w:val="21"/>
        </w:rPr>
      </w:pPr>
      <w:r>
        <w:rPr>
          <w:rFonts w:hint="eastAsia" w:ascii="宋体" w:hAnsi="宋体"/>
          <w:szCs w:val="21"/>
          <w:lang w:val="en-US" w:eastAsia="zh-CN"/>
        </w:rPr>
        <w:t>21.</w:t>
      </w:r>
      <w:r>
        <w:rPr>
          <w:rFonts w:hint="eastAsia" w:ascii="宋体" w:hAnsi="宋体"/>
          <w:szCs w:val="21"/>
        </w:rPr>
        <w:t>乙方应在本合同生效后5个工作日内向甲方提供委派到甲方从事餐饮服务人员的健康合格证、各类上岗证和资格证，甲方有权保存其复印件。</w:t>
      </w:r>
    </w:p>
    <w:p w14:paraId="70B2CC2F">
      <w:pPr>
        <w:spacing w:line="360" w:lineRule="auto"/>
        <w:ind w:left="6" w:firstLine="420" w:firstLineChars="200"/>
        <w:rPr>
          <w:rFonts w:hint="eastAsia" w:ascii="宋体" w:hAnsi="宋体"/>
          <w:szCs w:val="21"/>
        </w:rPr>
      </w:pPr>
      <w:r>
        <w:rPr>
          <w:rFonts w:hint="eastAsia" w:ascii="宋体" w:hAnsi="宋体"/>
          <w:szCs w:val="21"/>
          <w:lang w:val="en-US" w:eastAsia="zh-CN"/>
        </w:rPr>
        <w:t>22.</w:t>
      </w:r>
      <w:r>
        <w:rPr>
          <w:rFonts w:hint="eastAsia" w:ascii="宋体" w:hAnsi="宋体"/>
          <w:szCs w:val="21"/>
        </w:rPr>
        <w:t>乙方应接受甲方每天对食品卫生所进行的监控并实行留餐制度，每餐样品保存期为48小时，以便甲方对其进行卫生检验。如确系乙方原因造成的样品卫生检验不合格，检验费全部由乙方承担，乙方并应承担因此对甲方及相关人员造成的所有损失。如经卫生检验机构检验，样品卫生连续出现2次不合格情况的，甲方有权要求限期整改，整改不好的可提前终止合同；如造成损害后果的，乙方还应当承当相应赔偿责任。</w:t>
      </w:r>
    </w:p>
    <w:p w14:paraId="4735F02F">
      <w:pPr>
        <w:spacing w:line="360" w:lineRule="auto"/>
        <w:ind w:left="6" w:firstLine="420" w:firstLineChars="200"/>
        <w:rPr>
          <w:rFonts w:hint="eastAsia" w:ascii="宋体" w:hAnsi="宋体"/>
          <w:szCs w:val="21"/>
        </w:rPr>
      </w:pPr>
      <w:r>
        <w:rPr>
          <w:rFonts w:hint="eastAsia" w:ascii="宋体" w:hAnsi="宋体"/>
          <w:szCs w:val="21"/>
          <w:lang w:val="en-US" w:eastAsia="zh-CN"/>
        </w:rPr>
        <w:t>23.</w:t>
      </w:r>
      <w:r>
        <w:rPr>
          <w:rFonts w:hint="eastAsia" w:ascii="宋体" w:hAnsi="宋体"/>
          <w:szCs w:val="21"/>
        </w:rPr>
        <w:t>在遇到疫情、火灾、停电、停水、停气等突发情况时，乙方应当及时通知甲方，并启动应急预案、及时采取补救措施，以保证正常供餐。</w:t>
      </w:r>
    </w:p>
    <w:p w14:paraId="50A301F0">
      <w:pPr>
        <w:spacing w:line="360" w:lineRule="auto"/>
        <w:ind w:left="6" w:firstLine="420" w:firstLineChars="200"/>
        <w:rPr>
          <w:rFonts w:hint="eastAsia" w:ascii="宋体" w:hAnsi="宋体"/>
          <w:szCs w:val="21"/>
        </w:rPr>
      </w:pPr>
      <w:r>
        <w:rPr>
          <w:rFonts w:hint="eastAsia" w:ascii="宋体" w:hAnsi="宋体"/>
          <w:szCs w:val="21"/>
          <w:lang w:val="en-US" w:eastAsia="zh-CN"/>
        </w:rPr>
        <w:t>24.</w:t>
      </w:r>
      <w:r>
        <w:rPr>
          <w:rFonts w:hint="eastAsia" w:ascii="宋体" w:hAnsi="宋体"/>
          <w:szCs w:val="21"/>
        </w:rPr>
        <w:t>乙方应严格按照《中华人民共和国食品安全法》为甲方提供营养健康的饮食服务，并确保食品、场地及人员安全，杜绝火灾、燃气泄漏、食物中毒等责任事故。如发生由乙方原因所导致的食物中毒、燃气泄漏以及其他人身、财产损害的，乙方应根据严重程度向甲方支付违约金并赔偿甲方及相关人员的一切损失，甲方有权提前终止合同并不承担任何法律责任。</w:t>
      </w:r>
    </w:p>
    <w:p w14:paraId="377717B2">
      <w:pPr>
        <w:spacing w:line="360" w:lineRule="auto"/>
        <w:ind w:left="6" w:firstLine="420" w:firstLineChars="200"/>
        <w:rPr>
          <w:rFonts w:hint="eastAsia" w:ascii="宋体" w:hAnsi="宋体"/>
          <w:szCs w:val="21"/>
        </w:rPr>
      </w:pPr>
      <w:r>
        <w:rPr>
          <w:rFonts w:hint="eastAsia" w:ascii="宋体" w:hAnsi="宋体"/>
          <w:szCs w:val="21"/>
          <w:lang w:val="en-US" w:eastAsia="zh-CN"/>
        </w:rPr>
        <w:t>25.</w:t>
      </w:r>
      <w:r>
        <w:rPr>
          <w:rFonts w:hint="eastAsia" w:ascii="宋体" w:hAnsi="宋体"/>
          <w:szCs w:val="21"/>
        </w:rPr>
        <w:t>乙方按照合同约定及甲方要求开展各项餐饮服务，并编制餐饮服务方案、年度管理计划、年度维修养护计划和相关费用预算，报送甲方审定。</w:t>
      </w:r>
    </w:p>
    <w:p w14:paraId="2B08DB88">
      <w:pPr>
        <w:spacing w:line="360" w:lineRule="auto"/>
        <w:ind w:left="6" w:firstLine="420" w:firstLineChars="200"/>
        <w:rPr>
          <w:rFonts w:hint="eastAsia" w:ascii="宋体" w:hAnsi="宋体"/>
          <w:szCs w:val="21"/>
        </w:rPr>
      </w:pPr>
      <w:r>
        <w:rPr>
          <w:rFonts w:hint="eastAsia" w:ascii="宋体" w:hAnsi="宋体"/>
          <w:szCs w:val="21"/>
          <w:lang w:val="en-US" w:eastAsia="zh-CN"/>
        </w:rPr>
        <w:t>26.</w:t>
      </w:r>
      <w:r>
        <w:rPr>
          <w:rFonts w:hint="eastAsia" w:ascii="宋体" w:hAnsi="宋体"/>
          <w:szCs w:val="21"/>
        </w:rPr>
        <w:t>乙方须每自然月10号前向甲方提交有关餐厅运营及餐厅管理情况的报告，包括但不限于以下内容：</w:t>
      </w:r>
    </w:p>
    <w:p w14:paraId="0607A90C">
      <w:pPr>
        <w:spacing w:line="360" w:lineRule="auto"/>
        <w:ind w:left="6" w:firstLine="420" w:firstLineChars="200"/>
        <w:rPr>
          <w:rFonts w:hint="eastAsia" w:ascii="宋体" w:hAnsi="宋体"/>
          <w:szCs w:val="21"/>
        </w:rPr>
      </w:pPr>
      <w:r>
        <w:rPr>
          <w:rFonts w:hint="eastAsia" w:ascii="宋体" w:hAnsi="宋体"/>
          <w:szCs w:val="21"/>
        </w:rPr>
        <w:t>（1）乙方上月度工作总结报告及本月工作计划；</w:t>
      </w:r>
    </w:p>
    <w:p w14:paraId="5CF6F9B0">
      <w:pPr>
        <w:spacing w:line="360" w:lineRule="auto"/>
        <w:ind w:left="6" w:firstLine="420" w:firstLineChars="200"/>
        <w:rPr>
          <w:rFonts w:hint="eastAsia" w:ascii="宋体" w:hAnsi="宋体"/>
          <w:szCs w:val="21"/>
        </w:rPr>
      </w:pPr>
      <w:r>
        <w:rPr>
          <w:rFonts w:hint="eastAsia" w:ascii="宋体" w:hAnsi="宋体"/>
          <w:szCs w:val="21"/>
        </w:rPr>
        <w:t>（2）投诉及表扬月度统计报表；</w:t>
      </w:r>
    </w:p>
    <w:p w14:paraId="50F6F3DD">
      <w:pPr>
        <w:spacing w:line="360" w:lineRule="auto"/>
        <w:ind w:left="6" w:firstLine="420" w:firstLineChars="200"/>
        <w:rPr>
          <w:rFonts w:hint="eastAsia" w:ascii="宋体" w:hAnsi="宋体"/>
          <w:szCs w:val="21"/>
        </w:rPr>
      </w:pPr>
      <w:r>
        <w:rPr>
          <w:rFonts w:hint="eastAsia" w:ascii="宋体" w:hAnsi="宋体"/>
          <w:szCs w:val="21"/>
        </w:rPr>
        <w:t>（3）经营状况月度统计表；</w:t>
      </w:r>
    </w:p>
    <w:p w14:paraId="417FB70F">
      <w:pPr>
        <w:spacing w:line="360" w:lineRule="auto"/>
        <w:ind w:left="6" w:firstLine="420" w:firstLineChars="200"/>
        <w:rPr>
          <w:rFonts w:hint="eastAsia" w:ascii="宋体" w:hAnsi="宋体"/>
          <w:szCs w:val="21"/>
        </w:rPr>
      </w:pPr>
      <w:r>
        <w:rPr>
          <w:rFonts w:hint="eastAsia" w:ascii="宋体" w:hAnsi="宋体"/>
          <w:szCs w:val="21"/>
        </w:rPr>
        <w:t>（4）甲方要求的其他文档。</w:t>
      </w:r>
    </w:p>
    <w:p w14:paraId="12A25E57">
      <w:pPr>
        <w:spacing w:line="360" w:lineRule="auto"/>
        <w:ind w:left="6" w:firstLine="420" w:firstLineChars="200"/>
        <w:rPr>
          <w:rFonts w:hint="eastAsia" w:ascii="宋体" w:hAnsi="宋体"/>
          <w:szCs w:val="21"/>
        </w:rPr>
      </w:pPr>
      <w:r>
        <w:rPr>
          <w:rFonts w:hint="eastAsia" w:ascii="宋体" w:hAnsi="宋体"/>
          <w:szCs w:val="21"/>
          <w:lang w:val="en-US" w:eastAsia="zh-CN"/>
        </w:rPr>
        <w:t>27.</w:t>
      </w:r>
      <w:r>
        <w:rPr>
          <w:rFonts w:hint="eastAsia" w:ascii="宋体" w:hAnsi="宋体"/>
          <w:szCs w:val="21"/>
        </w:rPr>
        <w:t>乙方在确保餐饮环境舒适、卫生安全的前提下，做好餐饮服务区域的节能管理。</w:t>
      </w:r>
    </w:p>
    <w:p w14:paraId="3A09AF63">
      <w:pPr>
        <w:spacing w:line="360" w:lineRule="auto"/>
        <w:ind w:left="6" w:firstLine="420" w:firstLineChars="200"/>
        <w:rPr>
          <w:rFonts w:hint="eastAsia" w:ascii="宋体" w:hAnsi="宋体"/>
          <w:szCs w:val="21"/>
        </w:rPr>
      </w:pPr>
      <w:r>
        <w:rPr>
          <w:rFonts w:hint="eastAsia" w:ascii="宋体" w:hAnsi="宋体"/>
          <w:szCs w:val="21"/>
          <w:lang w:val="en-US" w:eastAsia="zh-CN"/>
        </w:rPr>
        <w:t>28.</w:t>
      </w:r>
      <w:r>
        <w:rPr>
          <w:rFonts w:hint="eastAsia" w:ascii="宋体" w:hAnsi="宋体"/>
          <w:szCs w:val="21"/>
        </w:rPr>
        <w:t>乙方做好本餐饮服务区域的安全生产和事故防范工作，采取安全防护措施，确保餐饮服务安全；遵守有关环境保护和职业健康管理职责要求。若由于乙方过错或过失未能保证安全生产，出现安全事故的，甲方有权提前终止合同，由此产生的一切后果和损失全部由乙方承担，同时乙方应根据事故严重程度向甲方支付违约金。</w:t>
      </w:r>
    </w:p>
    <w:p w14:paraId="5D583DEA">
      <w:pPr>
        <w:spacing w:line="360" w:lineRule="auto"/>
        <w:ind w:left="6" w:firstLine="420" w:firstLineChars="200"/>
        <w:rPr>
          <w:rFonts w:hint="eastAsia" w:ascii="宋体" w:hAnsi="宋体"/>
          <w:szCs w:val="21"/>
        </w:rPr>
      </w:pPr>
      <w:r>
        <w:rPr>
          <w:rFonts w:hint="eastAsia" w:ascii="宋体" w:hAnsi="宋体"/>
          <w:szCs w:val="21"/>
          <w:lang w:val="en-US" w:eastAsia="zh-CN"/>
        </w:rPr>
        <w:t>29.</w:t>
      </w:r>
      <w:r>
        <w:rPr>
          <w:rFonts w:hint="eastAsia" w:ascii="宋体" w:hAnsi="宋体"/>
          <w:szCs w:val="21"/>
        </w:rPr>
        <w:t>乙方应当按甲方要求组织成立服务质量监督检查部门，对餐饮服务质量进行内部监督检查，及时向甲方通报涉及餐饮服务的重大事项，稳步提升餐饮服务质量。</w:t>
      </w:r>
    </w:p>
    <w:p w14:paraId="6B34DFD3">
      <w:pPr>
        <w:spacing w:line="360" w:lineRule="auto"/>
        <w:ind w:left="6" w:firstLine="420" w:firstLineChars="200"/>
        <w:rPr>
          <w:rFonts w:hint="eastAsia" w:ascii="宋体" w:hAnsi="宋体"/>
          <w:szCs w:val="21"/>
        </w:rPr>
      </w:pPr>
      <w:r>
        <w:rPr>
          <w:rFonts w:hint="eastAsia" w:ascii="宋体" w:hAnsi="宋体"/>
          <w:szCs w:val="21"/>
          <w:lang w:val="en-US" w:eastAsia="zh-CN"/>
        </w:rPr>
        <w:t>30.</w:t>
      </w:r>
      <w:r>
        <w:rPr>
          <w:rFonts w:hint="eastAsia" w:ascii="宋体" w:hAnsi="宋体"/>
          <w:szCs w:val="21"/>
        </w:rPr>
        <w:t>乙方对甲方提出的建议和用户投诉，一般性问题24小时内处理完毕；对于复杂问题在72小时内处理完毕，处理结果须经甲方认可。</w:t>
      </w:r>
    </w:p>
    <w:p w14:paraId="540CF278">
      <w:pPr>
        <w:spacing w:line="360" w:lineRule="auto"/>
        <w:ind w:left="6" w:firstLine="420" w:firstLineChars="200"/>
        <w:rPr>
          <w:rFonts w:hint="eastAsia" w:ascii="宋体" w:hAnsi="宋体"/>
          <w:szCs w:val="21"/>
        </w:rPr>
      </w:pPr>
      <w:r>
        <w:rPr>
          <w:rFonts w:hint="eastAsia" w:ascii="宋体" w:hAnsi="宋体"/>
          <w:szCs w:val="21"/>
          <w:lang w:val="en-US" w:eastAsia="zh-CN"/>
        </w:rPr>
        <w:t>31.</w:t>
      </w:r>
      <w:r>
        <w:rPr>
          <w:rFonts w:hint="eastAsia" w:ascii="宋体" w:hAnsi="宋体"/>
          <w:szCs w:val="21"/>
        </w:rPr>
        <w:t>乙方应在每年12月31日前向甲方提交餐饮管理服务年度总结报告；合同期限届满前，乙方应向甲方提交餐饮服务总结报告；合同期限届满且不再续签新合同时，应向甲方移交与餐饮服务相关的设备、工具、档案和图纸资料，并填写移交清单，由双方书面签收；全部手续完成后签署餐饮服务移交确认书。</w:t>
      </w:r>
    </w:p>
    <w:p w14:paraId="0BD4FA21">
      <w:pPr>
        <w:spacing w:line="360" w:lineRule="auto"/>
        <w:ind w:left="6" w:firstLine="420" w:firstLineChars="200"/>
        <w:rPr>
          <w:rFonts w:hint="eastAsia" w:ascii="宋体" w:hAnsi="宋体"/>
          <w:szCs w:val="21"/>
        </w:rPr>
      </w:pPr>
      <w:r>
        <w:rPr>
          <w:rFonts w:hint="eastAsia" w:ascii="宋体" w:hAnsi="宋体"/>
          <w:szCs w:val="21"/>
          <w:lang w:val="en-US" w:eastAsia="zh-CN"/>
        </w:rPr>
        <w:t>32.</w:t>
      </w:r>
      <w:r>
        <w:rPr>
          <w:rFonts w:hint="eastAsia" w:ascii="宋体" w:hAnsi="宋体"/>
          <w:szCs w:val="21"/>
        </w:rPr>
        <w:t>在发生传染性疾病或其他突发事件时，乙方应严格遵守国家和北京市就该传染性疾病或事件所发布的通知、要求或其他文件，并严格遵守甲方就该传染疾病或事件所发布的通知、要求或其他文件，否则，视为乙方违约，乙方应承担违约责任，并赔偿由此造成的全部损失。</w:t>
      </w:r>
    </w:p>
    <w:p w14:paraId="0FCEE343">
      <w:pPr>
        <w:spacing w:line="360" w:lineRule="auto"/>
        <w:ind w:left="6" w:firstLine="420" w:firstLineChars="200"/>
        <w:rPr>
          <w:rFonts w:hint="eastAsia" w:ascii="宋体" w:hAnsi="宋体"/>
          <w:szCs w:val="21"/>
        </w:rPr>
      </w:pPr>
      <w:r>
        <w:rPr>
          <w:rFonts w:hint="eastAsia" w:ascii="宋体" w:hAnsi="宋体"/>
          <w:szCs w:val="21"/>
          <w:lang w:val="en-US" w:eastAsia="zh-CN"/>
        </w:rPr>
        <w:t>33.</w:t>
      </w:r>
      <w:r>
        <w:rPr>
          <w:rFonts w:hint="eastAsia" w:ascii="宋体" w:hAnsi="宋体"/>
          <w:szCs w:val="21"/>
        </w:rPr>
        <w:t>乙方承诺遵守甲方的安全保卫、保密、信息安全等制度。在提供就餐服务过程中，对就餐人员的个人信息予以保密。</w:t>
      </w:r>
    </w:p>
    <w:p w14:paraId="4D25C7AF">
      <w:pPr>
        <w:spacing w:line="360" w:lineRule="auto"/>
        <w:ind w:left="6" w:firstLine="420" w:firstLineChars="200"/>
        <w:rPr>
          <w:rFonts w:hint="eastAsia" w:ascii="宋体" w:hAnsi="宋体"/>
          <w:szCs w:val="21"/>
          <w:lang w:val="zh-CN"/>
        </w:rPr>
      </w:pPr>
      <w:r>
        <w:rPr>
          <w:rFonts w:hint="eastAsia" w:ascii="宋体" w:hAnsi="宋体"/>
          <w:szCs w:val="21"/>
          <w:lang w:val="en-US" w:eastAsia="zh-CN"/>
        </w:rPr>
        <w:t>34.</w:t>
      </w:r>
      <w:r>
        <w:rPr>
          <w:rFonts w:hint="eastAsia" w:ascii="宋体" w:hAnsi="宋体"/>
          <w:szCs w:val="21"/>
        </w:rPr>
        <w:t>本合同、本合同附件规定的其他权利和义务。</w:t>
      </w:r>
    </w:p>
    <w:bookmarkEnd w:id="53"/>
    <w:p w14:paraId="7F6177D9">
      <w:pPr>
        <w:spacing w:line="360" w:lineRule="auto"/>
        <w:ind w:left="13" w:leftChars="6" w:firstLine="422" w:firstLineChars="200"/>
        <w:rPr>
          <w:rFonts w:hint="eastAsia" w:ascii="宋体" w:hAnsi="宋体"/>
          <w:b/>
          <w:szCs w:val="21"/>
        </w:rPr>
      </w:pPr>
      <w:r>
        <w:rPr>
          <w:rFonts w:hint="eastAsia" w:ascii="宋体" w:hAnsi="宋体"/>
          <w:b/>
          <w:szCs w:val="21"/>
        </w:rPr>
        <w:t>第十二条 其他事宜</w:t>
      </w:r>
    </w:p>
    <w:p w14:paraId="3A93D017">
      <w:pPr>
        <w:spacing w:line="360" w:lineRule="auto"/>
        <w:ind w:firstLine="420" w:firstLineChars="200"/>
        <w:rPr>
          <w:rFonts w:hint="eastAsia" w:ascii="宋体" w:hAnsi="宋体"/>
          <w:szCs w:val="21"/>
        </w:rPr>
      </w:pPr>
      <w:r>
        <w:rPr>
          <w:rFonts w:hint="eastAsia" w:ascii="宋体" w:hAnsi="宋体"/>
          <w:szCs w:val="21"/>
        </w:rPr>
        <w:t>1.餐具及易损品损耗率按月累计：（1）瓷器餐具每月8%；（2）易耗品（翅碟、翅碗、勺、筷子）每月15%；（3）玻璃器皿每月15%；（4）不锈钢餐具每月2%（餐饮服务过程中确因甲方就餐人员造成损坏的，乙方按月记录报告甲方，经甲方书面确认的，不计入前述损耗率计算范围）。对于在前述餐具及易损品损耗率以内的损失，由甲方承担；超出部分的损失，由乙方承担，损失赔偿款在履约金进行抵扣，甲乙双方按月累计结算。</w:t>
      </w:r>
    </w:p>
    <w:p w14:paraId="1BEE74EA">
      <w:pPr>
        <w:spacing w:line="360" w:lineRule="auto"/>
        <w:ind w:firstLine="420" w:firstLineChars="200"/>
        <w:rPr>
          <w:rFonts w:hint="eastAsia" w:ascii="宋体" w:hAnsi="宋体"/>
          <w:szCs w:val="21"/>
        </w:rPr>
      </w:pPr>
      <w:r>
        <w:rPr>
          <w:rFonts w:hint="eastAsia" w:ascii="宋体" w:hAnsi="宋体"/>
          <w:szCs w:val="21"/>
        </w:rPr>
        <w:t>2.甲方免收乙方的食堂场所租金、房屋及相关设施设备的折旧费、物业管理费和</w:t>
      </w:r>
      <w:r>
        <w:rPr>
          <w:rFonts w:hint="eastAsia" w:ascii="宋体" w:hAnsi="宋体"/>
          <w:szCs w:val="21"/>
          <w:highlight w:val="none"/>
        </w:rPr>
        <w:t>水、电、燃气等能源费</w:t>
      </w:r>
      <w:r>
        <w:rPr>
          <w:rFonts w:hint="eastAsia" w:ascii="宋体" w:hAnsi="宋体"/>
          <w:szCs w:val="21"/>
        </w:rPr>
        <w:t>，但如甲方发现乙方故意浪费能源、损坏房屋及相关设施、设备时，甲方有权要求乙方进行赔偿，自甲方提出索赔之日起15日内，乙方未支付赔款的，甲方有权在乙方提交的履约保证金中据实进行扣除。乙方应在扣除之日起15日内重新向甲方提交符合本合同约定的履约保函。</w:t>
      </w:r>
    </w:p>
    <w:p w14:paraId="6BC097AD">
      <w:pPr>
        <w:spacing w:line="360" w:lineRule="auto"/>
        <w:ind w:firstLine="420" w:firstLineChars="200"/>
        <w:rPr>
          <w:rFonts w:hint="eastAsia" w:ascii="宋体" w:hAnsi="宋体"/>
          <w:szCs w:val="21"/>
        </w:rPr>
      </w:pPr>
      <w:r>
        <w:rPr>
          <w:rFonts w:hint="eastAsia" w:ascii="宋体" w:hAnsi="宋体"/>
          <w:szCs w:val="21"/>
        </w:rPr>
        <w:t>3.厉行节约有关要求</w:t>
      </w:r>
    </w:p>
    <w:p w14:paraId="058321DA">
      <w:pPr>
        <w:spacing w:line="360" w:lineRule="auto"/>
        <w:ind w:firstLine="420" w:firstLineChars="200"/>
        <w:rPr>
          <w:rFonts w:hint="eastAsia" w:ascii="宋体" w:hAnsi="宋体"/>
          <w:szCs w:val="21"/>
        </w:rPr>
      </w:pPr>
      <w:r>
        <w:rPr>
          <w:rFonts w:hint="eastAsia" w:ascii="宋体" w:hAnsi="宋体"/>
          <w:szCs w:val="21"/>
        </w:rPr>
        <w:t>3.1食材方面</w:t>
      </w:r>
    </w:p>
    <w:p w14:paraId="1BCCD8E9">
      <w:pPr>
        <w:spacing w:line="360" w:lineRule="auto"/>
        <w:ind w:firstLine="420" w:firstLineChars="200"/>
        <w:rPr>
          <w:rFonts w:hint="eastAsia" w:ascii="宋体" w:hAnsi="宋体"/>
          <w:szCs w:val="21"/>
        </w:rPr>
      </w:pPr>
      <w:r>
        <w:rPr>
          <w:rFonts w:hint="eastAsia" w:ascii="宋体" w:hAnsi="宋体"/>
          <w:szCs w:val="21"/>
        </w:rPr>
        <w:t>（1）乙方应合理使用采购的食品原材料，建立厨余统计制度，杜绝浪费。</w:t>
      </w:r>
    </w:p>
    <w:p w14:paraId="0901719F">
      <w:pPr>
        <w:spacing w:line="360" w:lineRule="auto"/>
        <w:ind w:firstLine="420" w:firstLineChars="200"/>
        <w:rPr>
          <w:rFonts w:hint="eastAsia" w:ascii="宋体" w:hAnsi="宋体"/>
          <w:szCs w:val="21"/>
        </w:rPr>
      </w:pPr>
      <w:r>
        <w:rPr>
          <w:rFonts w:hint="eastAsia" w:ascii="宋体" w:hAnsi="宋体"/>
          <w:szCs w:val="21"/>
        </w:rPr>
        <w:t>（2）在食堂摆放节约标识标牌，做好食品营养健康宣传、节约宣传。</w:t>
      </w:r>
    </w:p>
    <w:p w14:paraId="37E2D8E5">
      <w:pPr>
        <w:spacing w:line="360" w:lineRule="auto"/>
        <w:ind w:firstLine="420" w:firstLineChars="200"/>
        <w:rPr>
          <w:rFonts w:hint="eastAsia" w:ascii="宋体" w:hAnsi="宋体"/>
          <w:szCs w:val="21"/>
        </w:rPr>
      </w:pPr>
      <w:r>
        <w:rPr>
          <w:rFonts w:hint="eastAsia" w:ascii="宋体" w:hAnsi="宋体"/>
          <w:szCs w:val="21"/>
        </w:rPr>
        <w:t>3.2节约用水方面</w:t>
      </w:r>
    </w:p>
    <w:p w14:paraId="7CE33168">
      <w:pPr>
        <w:spacing w:line="360" w:lineRule="auto"/>
        <w:ind w:firstLine="420" w:firstLineChars="200"/>
        <w:rPr>
          <w:rFonts w:hint="eastAsia" w:ascii="宋体" w:hAnsi="宋体"/>
          <w:szCs w:val="21"/>
        </w:rPr>
      </w:pPr>
      <w:r>
        <w:rPr>
          <w:rFonts w:hint="eastAsia" w:ascii="宋体" w:hAnsi="宋体"/>
          <w:szCs w:val="21"/>
        </w:rPr>
        <w:t>（1）餐线加热台加换水，以“节约用水”为目标，加水时不超标尺，在标准水位线。</w:t>
      </w:r>
    </w:p>
    <w:p w14:paraId="463338F7">
      <w:pPr>
        <w:spacing w:line="360" w:lineRule="auto"/>
        <w:ind w:firstLine="420" w:firstLineChars="200"/>
        <w:rPr>
          <w:rFonts w:hint="eastAsia" w:ascii="宋体" w:hAnsi="宋体"/>
          <w:szCs w:val="21"/>
        </w:rPr>
      </w:pPr>
      <w:r>
        <w:rPr>
          <w:rFonts w:hint="eastAsia" w:ascii="宋体" w:hAnsi="宋体"/>
          <w:szCs w:val="21"/>
        </w:rPr>
        <w:t>（2）洗碗间根据洗碗量合理做到干净卫生、消毒用水达标，洗碗过程中注重节水，结束工作后，勤检查水龙头是否正常，有无长流水现象，避免浪费水资源，勤清洗地沟，保持清洁卫生不堆积、不费水。</w:t>
      </w:r>
    </w:p>
    <w:p w14:paraId="28ED3CAE">
      <w:pPr>
        <w:spacing w:line="360" w:lineRule="auto"/>
        <w:ind w:firstLine="420" w:firstLineChars="200"/>
        <w:rPr>
          <w:rFonts w:hint="eastAsia" w:ascii="宋体" w:hAnsi="宋体"/>
          <w:szCs w:val="21"/>
        </w:rPr>
      </w:pPr>
      <w:r>
        <w:rPr>
          <w:rFonts w:hint="eastAsia" w:ascii="宋体" w:hAnsi="宋体"/>
          <w:szCs w:val="21"/>
        </w:rPr>
        <w:t>（3）厨房每个班组由各班组长负责。炉灶班组根据食谱炒菜勤刷洗锅灶，随手开关，闭餐后，每日做好清洁卫生；面点班组肉馅盆用完即刷，面盆用水泡10分钟后再刷洗；切配班组粗加工冷冻食品时，从冻库提前取出，化冻后再清洗；清洗菜时根据不同菜品使用清水泡或盐水泡后，将杂物挑拣后再次冲洗。各岗位工作结束后，由各岗位值班人员负责查看水龙头有无异常。</w:t>
      </w:r>
    </w:p>
    <w:p w14:paraId="1F33E684">
      <w:pPr>
        <w:spacing w:line="360" w:lineRule="auto"/>
        <w:ind w:firstLine="420" w:firstLineChars="200"/>
        <w:rPr>
          <w:rFonts w:hint="eastAsia" w:ascii="宋体" w:hAnsi="宋体"/>
          <w:szCs w:val="21"/>
        </w:rPr>
      </w:pPr>
      <w:r>
        <w:rPr>
          <w:rFonts w:hint="eastAsia" w:ascii="宋体" w:hAnsi="宋体"/>
          <w:szCs w:val="21"/>
        </w:rPr>
        <w:t>（4）值班人员每日检查。</w:t>
      </w:r>
    </w:p>
    <w:p w14:paraId="64E433E5">
      <w:pPr>
        <w:spacing w:line="360" w:lineRule="auto"/>
        <w:ind w:firstLine="420" w:firstLineChars="200"/>
        <w:rPr>
          <w:rFonts w:hint="eastAsia" w:ascii="宋体" w:hAnsi="宋体"/>
          <w:szCs w:val="21"/>
        </w:rPr>
      </w:pPr>
      <w:r>
        <w:rPr>
          <w:rFonts w:hint="eastAsia" w:ascii="宋体" w:hAnsi="宋体"/>
          <w:szCs w:val="21"/>
        </w:rPr>
        <w:t>3.3照明电器方面</w:t>
      </w:r>
    </w:p>
    <w:p w14:paraId="1897727A">
      <w:pPr>
        <w:spacing w:line="360" w:lineRule="auto"/>
        <w:ind w:firstLine="420" w:firstLineChars="200"/>
        <w:rPr>
          <w:rFonts w:hint="eastAsia" w:ascii="宋体" w:hAnsi="宋体"/>
          <w:szCs w:val="21"/>
        </w:rPr>
      </w:pPr>
      <w:r>
        <w:rPr>
          <w:rFonts w:hint="eastAsia" w:ascii="宋体" w:hAnsi="宋体"/>
          <w:szCs w:val="21"/>
        </w:rPr>
        <w:t>（1）食堂根据用餐、闭餐时间，开启相应区域的灯光，餐线上根据开餐时间，开启相对应的餐线加热台和灯光，根据关闭餐线的时间，依次关闭餐线加热台灯光；食堂整体工作完成后遵循“人走灯灭”。</w:t>
      </w:r>
    </w:p>
    <w:p w14:paraId="3E82CF42">
      <w:pPr>
        <w:spacing w:line="360" w:lineRule="auto"/>
        <w:ind w:firstLine="420" w:firstLineChars="200"/>
        <w:rPr>
          <w:rFonts w:hint="eastAsia" w:ascii="宋体" w:hAnsi="宋体"/>
          <w:szCs w:val="21"/>
        </w:rPr>
      </w:pPr>
      <w:r>
        <w:rPr>
          <w:rFonts w:hint="eastAsia" w:ascii="宋体" w:hAnsi="宋体"/>
          <w:szCs w:val="21"/>
        </w:rPr>
        <w:t>（2）洗碗间根据上下班时间和就餐时间，开启灯光照明，“人走灯灭”；刷碗机根据工作量的要求，随用随开，不用时关闭电源；消毒机定时消毒，消毒后关闭电源。</w:t>
      </w:r>
    </w:p>
    <w:p w14:paraId="5C80AD00">
      <w:pPr>
        <w:spacing w:line="360" w:lineRule="auto"/>
        <w:ind w:firstLine="420" w:firstLineChars="200"/>
        <w:rPr>
          <w:rFonts w:hint="eastAsia" w:ascii="宋体" w:hAnsi="宋体"/>
          <w:szCs w:val="21"/>
        </w:rPr>
      </w:pPr>
      <w:r>
        <w:rPr>
          <w:rFonts w:hint="eastAsia" w:ascii="宋体" w:hAnsi="宋体"/>
          <w:szCs w:val="21"/>
        </w:rPr>
        <w:t>（3）厨房每个班组由各班组长负责。炉灶班组根据开餐时间做好餐前工作，根据炒菜时间合理使用排油烟机，炒完菜马上关掉；面点班组合理使用烤箱、醒发箱、压面机、饺子机、电饼铛、豆浆机等电器设备，不使用时应关闭电源；切配班组根据上下班时间，管理好区域内的灯光照明，做到“人走灯灭”。</w:t>
      </w:r>
    </w:p>
    <w:p w14:paraId="48B34072">
      <w:pPr>
        <w:spacing w:line="360" w:lineRule="auto"/>
        <w:ind w:firstLine="420" w:firstLineChars="200"/>
        <w:rPr>
          <w:rFonts w:hint="eastAsia" w:ascii="宋体" w:hAnsi="宋体"/>
          <w:szCs w:val="21"/>
        </w:rPr>
      </w:pPr>
      <w:r>
        <w:rPr>
          <w:rFonts w:hint="eastAsia" w:ascii="宋体" w:hAnsi="宋体"/>
          <w:szCs w:val="21"/>
        </w:rPr>
        <w:t>（4）楼道走廊灯不全开，采取间隔亮灯，根据光照来开启和关灯，晚上值班人员检查并关闭所有可关闭的电源。</w:t>
      </w:r>
    </w:p>
    <w:p w14:paraId="5EF683C4">
      <w:pPr>
        <w:spacing w:line="360" w:lineRule="auto"/>
        <w:ind w:firstLine="420" w:firstLineChars="200"/>
        <w:rPr>
          <w:rFonts w:hint="eastAsia" w:ascii="宋体" w:hAnsi="宋体"/>
          <w:szCs w:val="21"/>
        </w:rPr>
      </w:pPr>
      <w:r>
        <w:rPr>
          <w:rFonts w:hint="eastAsia" w:ascii="宋体" w:hAnsi="宋体"/>
          <w:szCs w:val="21"/>
        </w:rPr>
        <w:t>（5）办公室的灯光、电脑、打印机等电子设备不用时关闭电源。</w:t>
      </w:r>
    </w:p>
    <w:p w14:paraId="46465BF6">
      <w:pPr>
        <w:spacing w:line="360" w:lineRule="auto"/>
        <w:ind w:firstLine="420" w:firstLineChars="200"/>
        <w:rPr>
          <w:rFonts w:hint="eastAsia" w:ascii="宋体" w:hAnsi="宋体"/>
          <w:szCs w:val="21"/>
        </w:rPr>
      </w:pPr>
      <w:r>
        <w:rPr>
          <w:rFonts w:hint="eastAsia" w:ascii="宋体" w:hAnsi="宋体"/>
          <w:szCs w:val="21"/>
        </w:rPr>
        <w:t>3.4天然气方面</w:t>
      </w:r>
    </w:p>
    <w:p w14:paraId="0C73C509">
      <w:pPr>
        <w:spacing w:line="360" w:lineRule="auto"/>
        <w:ind w:firstLine="420" w:firstLineChars="200"/>
        <w:rPr>
          <w:rFonts w:hint="eastAsia" w:ascii="宋体" w:hAnsi="宋体"/>
          <w:szCs w:val="21"/>
        </w:rPr>
      </w:pPr>
      <w:r>
        <w:rPr>
          <w:rFonts w:hint="eastAsia" w:ascii="宋体" w:hAnsi="宋体"/>
          <w:szCs w:val="21"/>
        </w:rPr>
        <w:t>（1）天然气日常使用注意事项：安全第一，随用随点火，用完即关闭。</w:t>
      </w:r>
    </w:p>
    <w:p w14:paraId="7C5B1A65">
      <w:pPr>
        <w:spacing w:line="360" w:lineRule="auto"/>
        <w:ind w:firstLine="420" w:firstLineChars="200"/>
        <w:rPr>
          <w:rFonts w:hint="eastAsia" w:ascii="宋体" w:hAnsi="宋体"/>
          <w:szCs w:val="21"/>
        </w:rPr>
      </w:pPr>
      <w:r>
        <w:rPr>
          <w:rFonts w:hint="eastAsia" w:ascii="宋体" w:hAnsi="宋体"/>
          <w:szCs w:val="21"/>
        </w:rPr>
        <w:t>（2）节能：厨房炒锅、蒸箱、地灶等设备在制作完菜品、主食、汤类后，先关火再将成品进行装盒。</w:t>
      </w:r>
    </w:p>
    <w:p w14:paraId="1A05EAE1">
      <w:pPr>
        <w:spacing w:line="360" w:lineRule="auto"/>
        <w:ind w:firstLine="420" w:firstLineChars="200"/>
        <w:rPr>
          <w:rFonts w:hint="eastAsia" w:ascii="宋体" w:hAnsi="宋体"/>
          <w:szCs w:val="21"/>
        </w:rPr>
      </w:pPr>
      <w:r>
        <w:rPr>
          <w:rFonts w:hint="eastAsia" w:ascii="宋体" w:hAnsi="宋体"/>
          <w:szCs w:val="21"/>
        </w:rPr>
        <w:t>（3）天然气开关：每餐结束后关火，每日结束后关总闸。</w:t>
      </w:r>
    </w:p>
    <w:p w14:paraId="0A9186B8">
      <w:pPr>
        <w:spacing w:line="360" w:lineRule="auto"/>
        <w:ind w:firstLine="420" w:firstLineChars="200"/>
        <w:rPr>
          <w:rFonts w:hint="eastAsia" w:ascii="宋体" w:hAnsi="宋体"/>
          <w:szCs w:val="21"/>
        </w:rPr>
      </w:pPr>
      <w:r>
        <w:rPr>
          <w:rFonts w:hint="eastAsia" w:ascii="宋体" w:hAnsi="宋体"/>
          <w:szCs w:val="21"/>
        </w:rPr>
        <w:t>（4）食堂需成立安全责任小组，每日负责人对食堂水、电、天然气进行安全检查、收尾检查、日常使用培训等，每日均有检查记录。</w:t>
      </w:r>
    </w:p>
    <w:p w14:paraId="792D0942">
      <w:pPr>
        <w:adjustRightInd w:val="0"/>
        <w:spacing w:line="360" w:lineRule="auto"/>
        <w:ind w:firstLine="420" w:firstLineChars="200"/>
        <w:rPr>
          <w:rFonts w:hint="eastAsia" w:ascii="宋体" w:hAnsi="宋体"/>
          <w:szCs w:val="21"/>
        </w:rPr>
      </w:pPr>
      <w:r>
        <w:rPr>
          <w:rFonts w:hint="eastAsia" w:ascii="宋体" w:hAnsi="宋体"/>
          <w:szCs w:val="21"/>
        </w:rPr>
        <w:t>3.5垃圾分类处理要求</w:t>
      </w:r>
    </w:p>
    <w:p w14:paraId="11498503">
      <w:pPr>
        <w:adjustRightInd w:val="0"/>
        <w:spacing w:line="360" w:lineRule="auto"/>
        <w:ind w:firstLine="420" w:firstLineChars="200"/>
        <w:rPr>
          <w:rFonts w:hint="eastAsia" w:ascii="宋体" w:hAnsi="宋体"/>
          <w:szCs w:val="21"/>
        </w:rPr>
      </w:pPr>
      <w:r>
        <w:rPr>
          <w:rFonts w:hint="eastAsia" w:ascii="宋体" w:hAnsi="宋体"/>
          <w:szCs w:val="21"/>
        </w:rPr>
        <w:t>乙方负责厨房及食堂管理范围的日常保洁、卫生消毒和垃圾清理工作，不得乱倒垃圾，不得乱排废物，餐厨垃圾要做到每餐及时清理，严格执行垃圾分类投放。具体操作按照北京市印发的《生活垃圾管理条例》执行。同时，按照北京市、中央国家机关爱卫办有关垃圾分类的规定要求，做好以下工作：</w:t>
      </w:r>
    </w:p>
    <w:p w14:paraId="70E065B0">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（1）在责任范围内开展生活垃圾分类知识宣传，对相关工作人员进行垃圾分类培训。</w:t>
      </w:r>
    </w:p>
    <w:p w14:paraId="5B81ACED">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（2）负责食堂区域垃圾分类收集容器的设置、使用和维护。</w:t>
      </w:r>
    </w:p>
    <w:p w14:paraId="325471D6">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（3）负责食堂区域生活垃圾分类收集源头管理。明确不同种类生活垃圾的投放时间、地点，分类收集、贮存生活垃圾，并按时清运到垃圾房。厨余垃圾应单独装运，不得混装，清运过程中不得遗撒、滴漏。</w:t>
      </w:r>
    </w:p>
    <w:p w14:paraId="4B0613DE">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（4）负责厨余垃圾的日常数量统计、记录，建立管理台账，并按要求定期报送。</w:t>
      </w:r>
    </w:p>
    <w:p w14:paraId="6FD523A2">
      <w:pPr>
        <w:spacing w:line="360" w:lineRule="auto"/>
        <w:ind w:firstLine="420" w:firstLineChars="200"/>
        <w:rPr>
          <w:rFonts w:hint="eastAsia" w:ascii="宋体" w:hAnsi="宋体"/>
          <w:szCs w:val="21"/>
        </w:rPr>
      </w:pPr>
      <w:r>
        <w:rPr>
          <w:rFonts w:hint="eastAsia" w:ascii="宋体" w:hAnsi="宋体"/>
          <w:szCs w:val="21"/>
        </w:rPr>
        <w:t>（5）餐盘回收处，食堂工作人员监督、劝阻食品浪费行为。</w:t>
      </w:r>
    </w:p>
    <w:p w14:paraId="091F334F">
      <w:pPr>
        <w:spacing w:line="360" w:lineRule="auto"/>
        <w:ind w:firstLine="422" w:firstLineChars="200"/>
        <w:rPr>
          <w:rFonts w:hint="eastAsia" w:ascii="宋体" w:hAnsi="宋体"/>
          <w:b/>
          <w:szCs w:val="21"/>
        </w:rPr>
      </w:pPr>
      <w:r>
        <w:rPr>
          <w:rFonts w:hint="eastAsia" w:ascii="宋体" w:hAnsi="宋体"/>
          <w:b/>
          <w:szCs w:val="21"/>
        </w:rPr>
        <w:t>第十三条 履约保证金</w:t>
      </w:r>
    </w:p>
    <w:p w14:paraId="4E3CB4B1">
      <w:pPr>
        <w:spacing w:line="360" w:lineRule="auto"/>
        <w:ind w:firstLine="420" w:firstLineChars="200"/>
        <w:rPr>
          <w:rFonts w:hint="eastAsia" w:ascii="宋体" w:hAnsi="宋体"/>
          <w:szCs w:val="21"/>
        </w:rPr>
      </w:pPr>
      <w:r>
        <w:rPr>
          <w:rFonts w:hint="eastAsia" w:ascii="宋体" w:hAnsi="宋体"/>
          <w:szCs w:val="21"/>
        </w:rPr>
        <w:t>1.乙方应在与甲方签订本合同后30日内向甲方提交履约保证金人民币</w:t>
      </w:r>
      <w:r>
        <w:rPr>
          <w:rFonts w:hint="eastAsia" w:ascii="宋体" w:hAnsi="宋体"/>
          <w:szCs w:val="21"/>
          <w:u w:val="single"/>
        </w:rPr>
        <w:t>（大写）</w:t>
      </w:r>
      <w:r>
        <w:rPr>
          <w:rFonts w:hint="eastAsia" w:ascii="宋体" w:hAnsi="宋体"/>
          <w:szCs w:val="21"/>
          <w:u w:val="single"/>
          <w:lang w:val="en-US" w:eastAsia="zh-CN"/>
        </w:rPr>
        <w:t>伍</w:t>
      </w:r>
      <w:r>
        <w:rPr>
          <w:rFonts w:hint="eastAsia" w:ascii="宋体" w:hAnsi="宋体"/>
          <w:szCs w:val="21"/>
          <w:u w:val="single"/>
        </w:rPr>
        <w:t>万元整，（小写）￥</w:t>
      </w:r>
      <w:r>
        <w:rPr>
          <w:rFonts w:hint="eastAsia" w:ascii="宋体" w:hAnsi="宋体"/>
          <w:szCs w:val="21"/>
          <w:u w:val="single"/>
          <w:lang w:val="en-US" w:eastAsia="zh-CN"/>
        </w:rPr>
        <w:t>5</w:t>
      </w:r>
      <w:r>
        <w:rPr>
          <w:rFonts w:hint="eastAsia" w:ascii="宋体" w:hAnsi="宋体"/>
          <w:szCs w:val="21"/>
          <w:u w:val="single"/>
        </w:rPr>
        <w:t>0,000元</w:t>
      </w:r>
      <w:r>
        <w:rPr>
          <w:rFonts w:hint="eastAsia" w:ascii="宋体" w:hAnsi="宋体"/>
          <w:szCs w:val="21"/>
        </w:rPr>
        <w:t>。</w:t>
      </w:r>
    </w:p>
    <w:p w14:paraId="1DA1E498">
      <w:pPr>
        <w:spacing w:line="360" w:lineRule="auto"/>
        <w:ind w:firstLine="420" w:firstLineChars="200"/>
        <w:rPr>
          <w:rFonts w:hint="eastAsia" w:ascii="宋体" w:hAnsi="宋体"/>
          <w:szCs w:val="21"/>
        </w:rPr>
      </w:pPr>
      <w:r>
        <w:rPr>
          <w:rFonts w:hint="eastAsia" w:ascii="宋体" w:hAnsi="宋体"/>
          <w:szCs w:val="21"/>
        </w:rPr>
        <w:t>2.履约保证金用以保证乙方履行本合同规定的所有义务及承担本合同规定的所有责任。在保证期间内，如乙方未能按照本合同约定履行任何义务，或应按照合同约定支付违约金，或承担赔偿责任（如因乙方原因造成甲方员工食物中毒、因乙方原因给甲方造成损失），甲方有权在乙方提交的履约保证金中扣除相应的金额。履约保证金不足以支付上述费用的，乙方还应当补足差额部分。</w:t>
      </w:r>
    </w:p>
    <w:p w14:paraId="027A3898">
      <w:pPr>
        <w:spacing w:line="360" w:lineRule="auto"/>
        <w:ind w:firstLine="420" w:firstLineChars="200"/>
        <w:rPr>
          <w:rFonts w:hint="eastAsia" w:ascii="宋体" w:hAnsi="宋体"/>
          <w:szCs w:val="21"/>
        </w:rPr>
      </w:pPr>
      <w:r>
        <w:rPr>
          <w:rFonts w:hint="eastAsia" w:ascii="宋体" w:hAnsi="宋体"/>
          <w:szCs w:val="21"/>
        </w:rPr>
        <w:t>3.履约保证金采用下述方式提交：</w:t>
      </w:r>
    </w:p>
    <w:p w14:paraId="26CB34C2">
      <w:pPr>
        <w:adjustRightInd w:val="0"/>
        <w:spacing w:line="360" w:lineRule="auto"/>
        <w:ind w:firstLine="420" w:firstLineChars="200"/>
        <w:rPr>
          <w:rFonts w:hint="eastAsia" w:ascii="宋体" w:hAnsi="宋体"/>
          <w:kern w:val="0"/>
          <w:szCs w:val="21"/>
        </w:rPr>
      </w:pPr>
      <w:r>
        <w:rPr>
          <w:rFonts w:hint="eastAsia" w:ascii="宋体" w:hAnsi="宋体"/>
          <w:kern w:val="0"/>
          <w:szCs w:val="21"/>
        </w:rPr>
        <w:t>由甲方接受的中华人民共和国内一家信誉良好的银行用甲方可以接受的格式提交的银行保函。</w:t>
      </w:r>
    </w:p>
    <w:p w14:paraId="41B8FB26">
      <w:pPr>
        <w:spacing w:line="360" w:lineRule="auto"/>
        <w:ind w:firstLine="420" w:firstLineChars="200"/>
        <w:rPr>
          <w:rFonts w:hint="eastAsia" w:ascii="宋体" w:hAnsi="宋体"/>
          <w:szCs w:val="21"/>
        </w:rPr>
      </w:pPr>
      <w:r>
        <w:rPr>
          <w:rFonts w:hint="eastAsia" w:ascii="宋体" w:hAnsi="宋体"/>
          <w:szCs w:val="21"/>
        </w:rPr>
        <w:t>4.除非双方另有约定，在乙方完成其全部合同义务且没有发生应支付违约金或赔偿金的情况下，甲方将在合同终止后60日内把履约保证金保函原件退还乙方。</w:t>
      </w:r>
    </w:p>
    <w:p w14:paraId="2D46837C">
      <w:pPr>
        <w:spacing w:line="360" w:lineRule="auto"/>
        <w:ind w:firstLine="420" w:firstLineChars="200"/>
        <w:rPr>
          <w:rFonts w:hint="eastAsia" w:ascii="宋体" w:hAnsi="宋体"/>
          <w:szCs w:val="21"/>
        </w:rPr>
      </w:pPr>
      <w:r>
        <w:rPr>
          <w:rFonts w:hint="eastAsia" w:ascii="宋体" w:hAnsi="宋体"/>
          <w:szCs w:val="21"/>
        </w:rPr>
        <w:t>5.如果在合同有效期内发生乙方所提交的履约保证金银行保函（以下简称“保函”）到期的情况，则乙方应于原保函到期之前15天向甲方提交新的或延期保函；如果乙方在原保函到期之前3天仍未提交新的或延期保函，则甲方有权从银行取出原保函的履约保证金，直至乙方提交新的或延期保函后再退还乙方。</w:t>
      </w:r>
    </w:p>
    <w:p w14:paraId="6E2DBF21">
      <w:pPr>
        <w:spacing w:line="360" w:lineRule="auto"/>
        <w:ind w:firstLine="422" w:firstLineChars="200"/>
        <w:rPr>
          <w:rFonts w:hint="eastAsia" w:ascii="宋体" w:hAnsi="宋体"/>
          <w:b/>
          <w:szCs w:val="21"/>
        </w:rPr>
      </w:pPr>
      <w:r>
        <w:rPr>
          <w:rFonts w:hint="eastAsia" w:ascii="宋体" w:hAnsi="宋体"/>
          <w:b/>
          <w:szCs w:val="21"/>
        </w:rPr>
        <w:t>第十四条 违约责任</w:t>
      </w:r>
    </w:p>
    <w:p w14:paraId="3C4E6E57">
      <w:pPr>
        <w:spacing w:line="360" w:lineRule="auto"/>
        <w:ind w:firstLine="420" w:firstLineChars="200"/>
        <w:rPr>
          <w:rFonts w:hint="eastAsia" w:ascii="宋体" w:hAnsi="宋体" w:cs="仿宋_GB2312"/>
          <w:szCs w:val="21"/>
        </w:rPr>
      </w:pPr>
      <w:r>
        <w:rPr>
          <w:rFonts w:hint="eastAsia" w:ascii="宋体" w:hAnsi="宋体" w:cs="仿宋_GB2312"/>
          <w:szCs w:val="21"/>
        </w:rPr>
        <w:t>1.除本合同另有约定外，在合同有效期内，非因不可抗力、也无任何乙方违反本合同的情况发生，则甲乙双方中的任何一方都不得擅自终止合同，否则视为违约，违约方应向守约方支付违约金贰拾万元整，给守约方造成损失的，还应赔偿损失。</w:t>
      </w:r>
    </w:p>
    <w:p w14:paraId="22908AB9">
      <w:pPr>
        <w:spacing w:line="360" w:lineRule="auto"/>
        <w:ind w:firstLine="420" w:firstLineChars="200"/>
        <w:rPr>
          <w:rFonts w:hint="eastAsia" w:ascii="宋体" w:hAnsi="宋体" w:cs="仿宋_GB2312"/>
          <w:szCs w:val="21"/>
        </w:rPr>
      </w:pPr>
      <w:r>
        <w:rPr>
          <w:rFonts w:hint="eastAsia" w:ascii="宋体" w:hAnsi="宋体" w:cs="仿宋_GB2312"/>
          <w:szCs w:val="21"/>
        </w:rPr>
        <w:t>2.乙方延迟交付的违约责任：</w:t>
      </w:r>
    </w:p>
    <w:p w14:paraId="0CEB6C0D">
      <w:pPr>
        <w:spacing w:line="360" w:lineRule="auto"/>
        <w:ind w:firstLine="420" w:firstLineChars="200"/>
        <w:rPr>
          <w:rFonts w:hint="eastAsia" w:ascii="宋体" w:hAnsi="宋体" w:cs="仿宋_GB2312"/>
          <w:szCs w:val="21"/>
        </w:rPr>
      </w:pPr>
      <w:r>
        <w:rPr>
          <w:rFonts w:hint="eastAsia" w:ascii="宋体" w:hAnsi="宋体"/>
          <w:szCs w:val="21"/>
        </w:rPr>
        <w:t>2.1</w:t>
      </w:r>
      <w:r>
        <w:rPr>
          <w:rFonts w:hint="eastAsia" w:ascii="宋体" w:hAnsi="宋体" w:cs="仿宋_GB2312"/>
          <w:szCs w:val="21"/>
        </w:rPr>
        <w:t>由于乙方原因造成项目延迟的，每延迟10个工作日，乙方向甲方支付违约金为合同服务费用总额的5%。</w:t>
      </w:r>
    </w:p>
    <w:p w14:paraId="2D6FC061">
      <w:pPr>
        <w:spacing w:line="360" w:lineRule="auto"/>
        <w:ind w:firstLine="420" w:firstLineChars="200"/>
        <w:rPr>
          <w:rFonts w:hint="eastAsia" w:ascii="宋体" w:hAnsi="宋体" w:cs="仿宋_GB2312"/>
          <w:szCs w:val="21"/>
        </w:rPr>
      </w:pPr>
      <w:r>
        <w:rPr>
          <w:rFonts w:hint="eastAsia" w:ascii="宋体" w:hAnsi="宋体"/>
          <w:szCs w:val="21"/>
        </w:rPr>
        <w:t>2.2</w:t>
      </w:r>
      <w:r>
        <w:rPr>
          <w:rFonts w:hint="eastAsia" w:ascii="宋体" w:hAnsi="宋体" w:cs="仿宋_GB2312"/>
          <w:szCs w:val="21"/>
        </w:rPr>
        <w:t>由于乙方原因造成项目迟延，经甲方催促后乙方继续延误的，甲方有权单方面解除合同，乙方应按照合同服务费用总额的5%向甲方支付违约金，并赔偿由此引起的甲方全部损失。</w:t>
      </w:r>
    </w:p>
    <w:p w14:paraId="6E4F810A">
      <w:pPr>
        <w:spacing w:line="360" w:lineRule="auto"/>
        <w:ind w:firstLine="420" w:firstLineChars="200"/>
        <w:rPr>
          <w:rFonts w:hint="eastAsia" w:ascii="宋体" w:hAnsi="宋体" w:cs="仿宋_GB2312"/>
          <w:color w:val="FF0000"/>
          <w:szCs w:val="21"/>
        </w:rPr>
      </w:pPr>
      <w:r>
        <w:rPr>
          <w:rFonts w:hint="eastAsia" w:ascii="宋体" w:hAnsi="宋体" w:cs="仿宋_GB2312"/>
          <w:szCs w:val="21"/>
        </w:rPr>
        <w:t>3.交付验收不合格并且乙方在甲方指定期限内无法完成整改、提交合格的工作成果的，乙方应向甲方支付合同服务费用总额5%的违约金，并赔偿由此引起的甲方全部损失</w:t>
      </w:r>
      <w:r>
        <w:rPr>
          <w:rFonts w:hint="eastAsia" w:ascii="宋体" w:hAnsi="宋体" w:cs="仿宋_GB2312"/>
          <w:color w:val="FF0000"/>
          <w:szCs w:val="21"/>
        </w:rPr>
        <w:t>。</w:t>
      </w:r>
    </w:p>
    <w:p w14:paraId="0AB9CBC6">
      <w:pPr>
        <w:spacing w:line="360" w:lineRule="auto"/>
        <w:ind w:firstLine="420" w:firstLineChars="200"/>
        <w:rPr>
          <w:rFonts w:hint="eastAsia" w:ascii="宋体" w:hAnsi="宋体" w:cs="仿宋_GB2312"/>
          <w:szCs w:val="21"/>
        </w:rPr>
      </w:pPr>
      <w:r>
        <w:rPr>
          <w:rFonts w:hint="eastAsia" w:ascii="宋体" w:hAnsi="宋体" w:cs="仿宋_GB2312"/>
          <w:szCs w:val="21"/>
        </w:rPr>
        <w:t>4.如果乙方违反本合同约定的保密义务，乙方应向甲方支付相当于合同服务费用总额5%的违约金，甲方受到的损失超出违约金的部分，由乙方继续承担赔偿责任。</w:t>
      </w:r>
    </w:p>
    <w:p w14:paraId="1FF9FB85">
      <w:pPr>
        <w:spacing w:line="360" w:lineRule="auto"/>
        <w:ind w:firstLine="420" w:firstLineChars="200"/>
        <w:rPr>
          <w:rFonts w:hint="eastAsia" w:ascii="宋体" w:hAnsi="宋体" w:cs="仿宋_GB2312"/>
          <w:szCs w:val="21"/>
        </w:rPr>
      </w:pPr>
      <w:r>
        <w:rPr>
          <w:rFonts w:hint="eastAsia" w:ascii="宋体" w:hAnsi="宋体" w:cs="仿宋_GB2312"/>
          <w:szCs w:val="21"/>
        </w:rPr>
        <w:t>5.除本合同的约定外，因乙方的违约行为给甲方造成损失的，乙方应向甲方支付相当于合同服务费用总额5%的违约金，如甲方受到的损失超过违约金的，超出部分由乙方继续承担赔偿责任。</w:t>
      </w:r>
    </w:p>
    <w:p w14:paraId="11463A3E">
      <w:pPr>
        <w:spacing w:line="360" w:lineRule="auto"/>
        <w:ind w:firstLine="420" w:firstLineChars="200"/>
        <w:rPr>
          <w:rFonts w:hint="eastAsia" w:ascii="宋体" w:hAnsi="宋体" w:cs="仿宋_GB2312"/>
          <w:szCs w:val="21"/>
        </w:rPr>
      </w:pPr>
      <w:r>
        <w:rPr>
          <w:rFonts w:hint="eastAsia" w:ascii="宋体" w:hAnsi="宋体"/>
          <w:szCs w:val="21"/>
        </w:rPr>
        <w:t>6.乙方擅自转让其合同义务或变相转让他人履行合同义务的，甲方有权终止本合同，由此给甲方造成损失的，乙方应当予以照价赔偿。</w:t>
      </w:r>
    </w:p>
    <w:p w14:paraId="30B3CD47">
      <w:pPr>
        <w:spacing w:line="360" w:lineRule="auto"/>
        <w:ind w:firstLine="420" w:firstLineChars="200"/>
        <w:rPr>
          <w:rFonts w:hint="eastAsia" w:ascii="宋体" w:hAnsi="宋体" w:cs="仿宋_GB2312"/>
          <w:szCs w:val="21"/>
        </w:rPr>
      </w:pPr>
      <w:r>
        <w:rPr>
          <w:rFonts w:hint="eastAsia" w:ascii="宋体" w:hAnsi="宋体"/>
          <w:szCs w:val="21"/>
        </w:rPr>
        <w:t>7.当乙方违反本合同项下的义务时，甲方应以书面的形式发出整改通知，如乙方在收到整改通知书15个日历日内仍未整改的，甲方有权终止本合同。届时乙方应在甲方限定的时间内撤离食堂，并承担由此导致的一切损失，包括赔偿因此给甲方造成的损失。</w:t>
      </w:r>
    </w:p>
    <w:p w14:paraId="302E37DB">
      <w:pPr>
        <w:spacing w:line="360" w:lineRule="auto"/>
        <w:ind w:firstLine="420" w:firstLineChars="200"/>
        <w:rPr>
          <w:rFonts w:hint="eastAsia" w:ascii="宋体" w:hAnsi="宋体" w:cs="仿宋_GB2312"/>
          <w:szCs w:val="21"/>
        </w:rPr>
      </w:pPr>
      <w:r>
        <w:rPr>
          <w:rFonts w:hint="eastAsia" w:ascii="宋体" w:hAnsi="宋体"/>
          <w:szCs w:val="21"/>
        </w:rPr>
        <w:t>8.合同提前终止的情况下，乙方还应当退还甲方预支款的所有款项。</w:t>
      </w:r>
    </w:p>
    <w:p w14:paraId="1335AE44">
      <w:pPr>
        <w:spacing w:line="360" w:lineRule="auto"/>
        <w:ind w:firstLine="420" w:firstLineChars="200"/>
        <w:rPr>
          <w:rFonts w:hint="eastAsia" w:ascii="宋体" w:hAnsi="宋体" w:cs="仿宋_GB2312"/>
          <w:szCs w:val="21"/>
        </w:rPr>
      </w:pPr>
      <w:r>
        <w:rPr>
          <w:rFonts w:hint="eastAsia" w:ascii="宋体" w:hAnsi="宋体"/>
          <w:szCs w:val="21"/>
        </w:rPr>
        <w:t>9.乙方违反《食品安全法》规定，造成食物中毒的，负责全部医疗费用，并承担因此造成的民事、刑事责任及经济赔偿责任。</w:t>
      </w:r>
    </w:p>
    <w:p w14:paraId="4CD9F292">
      <w:pPr>
        <w:spacing w:line="360" w:lineRule="auto"/>
        <w:ind w:firstLine="422" w:firstLineChars="200"/>
        <w:rPr>
          <w:rFonts w:hint="eastAsia" w:ascii="宋体" w:hAnsi="宋体" w:cs="仿宋_GB2312"/>
          <w:szCs w:val="21"/>
        </w:rPr>
      </w:pPr>
      <w:r>
        <w:rPr>
          <w:rFonts w:hint="eastAsia" w:ascii="宋体" w:hAnsi="宋体" w:cs="仿宋_GB2312"/>
          <w:b/>
          <w:szCs w:val="21"/>
        </w:rPr>
        <w:t>第十五条</w:t>
      </w:r>
      <w:r>
        <w:rPr>
          <w:rFonts w:hint="eastAsia" w:ascii="宋体" w:hAnsi="宋体" w:cs="仿宋_GB2312"/>
          <w:szCs w:val="21"/>
        </w:rPr>
        <w:t xml:space="preserve"> </w:t>
      </w:r>
      <w:r>
        <w:rPr>
          <w:rFonts w:hint="eastAsia" w:ascii="宋体" w:hAnsi="宋体" w:cs="仿宋_GB2312"/>
          <w:b/>
          <w:szCs w:val="21"/>
        </w:rPr>
        <w:t>权利保证</w:t>
      </w:r>
    </w:p>
    <w:p w14:paraId="35787DDF">
      <w:pPr>
        <w:spacing w:line="360" w:lineRule="auto"/>
        <w:ind w:firstLine="420" w:firstLineChars="200"/>
        <w:rPr>
          <w:rFonts w:hint="eastAsia" w:ascii="宋体" w:hAnsi="宋体" w:cs="仿宋_GB2312"/>
          <w:szCs w:val="21"/>
        </w:rPr>
      </w:pPr>
      <w:r>
        <w:rPr>
          <w:rFonts w:hint="eastAsia" w:ascii="宋体" w:hAnsi="宋体" w:cs="仿宋_GB2312"/>
          <w:szCs w:val="21"/>
        </w:rPr>
        <w:t>乙方确保甲方不因签署本合同、接受或使用本合同中约定的事项侵犯甲方或任何第三方权利。如乙方违反本保证，导致第三方主张权利或者甲方遭受索赔，乙方应负责解决并应当赔偿甲方为此而支付的一切费用以及因此而给甲方造成的全部损失（包括但不限于甲方支出的律师费、仲裁费、诉讼费以及向第三方支付的赔偿金）。</w:t>
      </w:r>
    </w:p>
    <w:p w14:paraId="3EF31796">
      <w:pPr>
        <w:spacing w:line="360" w:lineRule="auto"/>
        <w:ind w:firstLine="422" w:firstLineChars="200"/>
        <w:rPr>
          <w:rFonts w:hint="eastAsia" w:ascii="宋体" w:hAnsi="宋体" w:cs="仿宋_GB2312"/>
          <w:szCs w:val="21"/>
        </w:rPr>
      </w:pPr>
      <w:r>
        <w:rPr>
          <w:rFonts w:hint="eastAsia" w:ascii="宋体" w:hAnsi="宋体" w:cs="仿宋_GB2312"/>
          <w:b/>
          <w:szCs w:val="21"/>
        </w:rPr>
        <w:t>第十六条</w:t>
      </w:r>
      <w:r>
        <w:rPr>
          <w:rFonts w:hint="eastAsia" w:ascii="宋体" w:hAnsi="宋体" w:cs="仿宋_GB2312"/>
          <w:szCs w:val="21"/>
        </w:rPr>
        <w:t xml:space="preserve"> </w:t>
      </w:r>
      <w:r>
        <w:rPr>
          <w:rFonts w:hint="eastAsia" w:ascii="宋体" w:hAnsi="宋体" w:cs="仿宋_GB2312"/>
          <w:b/>
          <w:szCs w:val="21"/>
        </w:rPr>
        <w:t>保密义务</w:t>
      </w:r>
    </w:p>
    <w:p w14:paraId="4DA99A28">
      <w:pPr>
        <w:spacing w:line="360" w:lineRule="auto"/>
        <w:ind w:firstLine="420" w:firstLineChars="200"/>
        <w:rPr>
          <w:rFonts w:hint="eastAsia" w:ascii="宋体" w:hAnsi="宋体" w:cs="仿宋_GB2312"/>
          <w:szCs w:val="21"/>
        </w:rPr>
      </w:pPr>
      <w:r>
        <w:rPr>
          <w:rFonts w:hint="eastAsia" w:ascii="宋体" w:hAnsi="宋体" w:cs="仿宋_GB2312"/>
          <w:szCs w:val="21"/>
        </w:rPr>
        <w:t>1.乙方应保证对本合同的所有相关内容及其因履行本合同所获知的各种甲方的具有保密性质的信息（包括但不限于经营、管理、商务、技术、营销、发展规划、客户信息、食材、菜单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14:paraId="02A23AC2">
      <w:pPr>
        <w:spacing w:line="360" w:lineRule="auto"/>
        <w:ind w:firstLine="420" w:firstLineChars="200"/>
        <w:rPr>
          <w:rFonts w:hint="eastAsia" w:ascii="宋体" w:hAnsi="宋体" w:cs="仿宋_GB2312"/>
          <w:szCs w:val="21"/>
        </w:rPr>
      </w:pPr>
      <w:r>
        <w:rPr>
          <w:rFonts w:hint="eastAsia" w:ascii="宋体" w:hAnsi="宋体" w:cs="仿宋_GB2312"/>
          <w:szCs w:val="21"/>
        </w:rPr>
        <w:t>2.乙方在本合同中所受领的保密信息应及时返还甲方或在甲方监督下予以销毁。乙方擅自留存备份信息，视为违反保密约定。</w:t>
      </w:r>
    </w:p>
    <w:p w14:paraId="6CB4C1A2">
      <w:pPr>
        <w:spacing w:line="360" w:lineRule="auto"/>
        <w:ind w:firstLine="420" w:firstLineChars="200"/>
        <w:rPr>
          <w:rFonts w:hint="eastAsia" w:ascii="宋体" w:hAnsi="宋体"/>
          <w:szCs w:val="21"/>
        </w:rPr>
      </w:pPr>
      <w:r>
        <w:rPr>
          <w:rFonts w:hint="eastAsia" w:ascii="宋体" w:hAnsi="宋体" w:cs="仿宋_GB2312"/>
          <w:szCs w:val="21"/>
        </w:rPr>
        <w:t>3.无论本合同因何种原因终止，本保密条款依然有效。</w:t>
      </w:r>
    </w:p>
    <w:p w14:paraId="36D2CE0A">
      <w:pPr>
        <w:spacing w:line="360" w:lineRule="auto"/>
        <w:ind w:firstLine="422" w:firstLineChars="200"/>
        <w:rPr>
          <w:rFonts w:hint="eastAsia" w:ascii="宋体" w:hAnsi="宋体" w:cs="楷体"/>
          <w:szCs w:val="21"/>
        </w:rPr>
      </w:pPr>
      <w:r>
        <w:rPr>
          <w:rFonts w:hint="eastAsia" w:ascii="宋体" w:hAnsi="宋体" w:cs="楷体"/>
          <w:b/>
          <w:szCs w:val="21"/>
        </w:rPr>
        <w:t>第十七条 合同解除</w:t>
      </w:r>
    </w:p>
    <w:p w14:paraId="1E8AEF0F">
      <w:pPr>
        <w:spacing w:line="360" w:lineRule="auto"/>
        <w:ind w:firstLine="420" w:firstLineChars="200"/>
        <w:rPr>
          <w:rFonts w:hint="eastAsia" w:ascii="宋体" w:hAnsi="宋体" w:cs="楷体"/>
          <w:szCs w:val="21"/>
        </w:rPr>
      </w:pPr>
      <w:r>
        <w:rPr>
          <w:rFonts w:hint="eastAsia" w:ascii="宋体" w:hAnsi="宋体" w:cs="楷体"/>
          <w:szCs w:val="21"/>
        </w:rPr>
        <w:t>1.在本合同有效期内，如就餐满意度低于70%或月度考核连续2个月低于70分的，甲方有权提前解除本合同，但应提前30天正式书面通知乙方，对此导致的一切损失，甲方不承担任何责任。未经甲方书面同意，乙方不得提前终止合同。</w:t>
      </w:r>
    </w:p>
    <w:p w14:paraId="4DE568E4">
      <w:pPr>
        <w:spacing w:line="360" w:lineRule="auto"/>
        <w:ind w:firstLine="420" w:firstLineChars="200"/>
        <w:rPr>
          <w:rFonts w:hint="eastAsia" w:ascii="宋体" w:hAnsi="宋体"/>
          <w:szCs w:val="21"/>
        </w:rPr>
      </w:pPr>
      <w:r>
        <w:rPr>
          <w:rFonts w:hint="eastAsia" w:ascii="宋体" w:hAnsi="宋体"/>
          <w:szCs w:val="21"/>
        </w:rPr>
        <w:t>2.在本合同有效期内，因乙方原因造成食品卫生、消防等安全事故的，甲方有权解除合同。</w:t>
      </w:r>
    </w:p>
    <w:p w14:paraId="5DF7DD75">
      <w:pPr>
        <w:spacing w:line="360" w:lineRule="auto"/>
        <w:ind w:firstLine="420" w:firstLineChars="200"/>
        <w:rPr>
          <w:rFonts w:hint="eastAsia" w:ascii="宋体" w:hAnsi="宋体"/>
          <w:szCs w:val="21"/>
        </w:rPr>
      </w:pPr>
      <w:r>
        <w:rPr>
          <w:rFonts w:hint="eastAsia" w:ascii="宋体" w:hAnsi="宋体"/>
          <w:szCs w:val="21"/>
        </w:rPr>
        <w:t>3.乙方因违反国家法律法规及行业监管规定而被吊销经营许可证、营业执照或受到有关政府部门的处罚的，甲方有权解除本合同，并赔偿因此给甲方造成的损失。</w:t>
      </w:r>
    </w:p>
    <w:p w14:paraId="01CA2CEA">
      <w:pPr>
        <w:spacing w:line="360" w:lineRule="auto"/>
        <w:ind w:firstLine="422" w:firstLineChars="200"/>
        <w:rPr>
          <w:rFonts w:hint="eastAsia" w:ascii="宋体" w:hAnsi="宋体" w:cs="楷体"/>
          <w:b/>
          <w:szCs w:val="21"/>
        </w:rPr>
      </w:pPr>
      <w:r>
        <w:rPr>
          <w:rFonts w:hint="eastAsia" w:ascii="宋体" w:hAnsi="宋体" w:cs="楷体"/>
          <w:b/>
          <w:szCs w:val="21"/>
        </w:rPr>
        <w:t>第十八条 合同特别终止</w:t>
      </w:r>
    </w:p>
    <w:p w14:paraId="6C7F72BD">
      <w:pPr>
        <w:spacing w:line="360" w:lineRule="auto"/>
        <w:ind w:firstLine="420" w:firstLineChars="200"/>
        <w:rPr>
          <w:rFonts w:hint="eastAsia" w:ascii="宋体" w:hAnsi="宋体"/>
          <w:szCs w:val="21"/>
        </w:rPr>
      </w:pPr>
      <w:r>
        <w:rPr>
          <w:rFonts w:hint="eastAsia" w:ascii="宋体" w:hAnsi="宋体"/>
          <w:szCs w:val="21"/>
        </w:rPr>
        <w:t>1.甲乙双方同意在乙方出现下列情形时，甲方可以书面形式通知乙方（或者乙方的破产清算组或相关管理人）提出终止合同而不向其提供任何补偿：</w:t>
      </w:r>
    </w:p>
    <w:p w14:paraId="12A9A6FC">
      <w:pPr>
        <w:spacing w:line="360" w:lineRule="auto"/>
        <w:ind w:firstLine="420" w:firstLineChars="200"/>
        <w:rPr>
          <w:rFonts w:hint="eastAsia" w:ascii="宋体" w:hAnsi="宋体"/>
          <w:szCs w:val="21"/>
        </w:rPr>
      </w:pPr>
      <w:r>
        <w:rPr>
          <w:rFonts w:hint="eastAsia" w:ascii="宋体" w:hAnsi="宋体"/>
          <w:szCs w:val="21"/>
        </w:rPr>
        <w:t>1.1乙方破产、解散（包括但不限于乙方股东会决议解散、乙方被吊销营业执照、被责令关闭、被撤销、被司法机关裁决解散等情形）；</w:t>
      </w:r>
    </w:p>
    <w:p w14:paraId="55963B3C">
      <w:pPr>
        <w:spacing w:line="360" w:lineRule="auto"/>
        <w:ind w:firstLine="420" w:firstLineChars="200"/>
        <w:rPr>
          <w:rFonts w:hint="eastAsia" w:ascii="宋体" w:hAnsi="宋体"/>
          <w:szCs w:val="21"/>
        </w:rPr>
      </w:pPr>
      <w:r>
        <w:rPr>
          <w:rFonts w:hint="eastAsia" w:ascii="宋体" w:hAnsi="宋体"/>
          <w:szCs w:val="21"/>
        </w:rPr>
        <w:t>1.2乙方发生未经甲方书面同意的重大产权变更（包括但不限于合并、分立、注销等情形）；（如系上市公司）被勒令停止上市；以及任何原因背负重大债务导致无履行能力。</w:t>
      </w:r>
    </w:p>
    <w:p w14:paraId="29E4640B">
      <w:pPr>
        <w:spacing w:line="360" w:lineRule="auto"/>
        <w:ind w:firstLine="420" w:firstLineChars="200"/>
        <w:rPr>
          <w:rFonts w:hint="eastAsia" w:ascii="宋体" w:hAnsi="宋体"/>
          <w:szCs w:val="21"/>
        </w:rPr>
      </w:pPr>
      <w:r>
        <w:rPr>
          <w:rFonts w:hint="eastAsia" w:ascii="宋体" w:hAnsi="宋体"/>
          <w:szCs w:val="21"/>
        </w:rPr>
        <w:t>2.如果因</w:t>
      </w:r>
      <w:r>
        <w:rPr>
          <w:rFonts w:hint="eastAsia" w:ascii="宋体" w:hAnsi="宋体" w:cs="仿宋_GB2312"/>
          <w:szCs w:val="21"/>
        </w:rPr>
        <w:t>上述原因导致本合同终止，甲方已经采取或者将要采取任何补救措施的权利不受任何影响。</w:t>
      </w:r>
    </w:p>
    <w:p w14:paraId="1720C5C8">
      <w:pPr>
        <w:spacing w:line="360" w:lineRule="auto"/>
        <w:ind w:firstLine="422" w:firstLineChars="200"/>
        <w:rPr>
          <w:rFonts w:hint="eastAsia" w:ascii="宋体" w:hAnsi="宋体"/>
          <w:szCs w:val="21"/>
        </w:rPr>
      </w:pPr>
      <w:r>
        <w:rPr>
          <w:rFonts w:hint="eastAsia" w:ascii="宋体" w:hAnsi="宋体" w:cs="楷体"/>
          <w:b/>
          <w:szCs w:val="21"/>
        </w:rPr>
        <w:t>第十九</w:t>
      </w:r>
      <w:r>
        <w:rPr>
          <w:rFonts w:hint="eastAsia" w:ascii="宋体" w:hAnsi="宋体" w:cs="仿宋_GB2312"/>
          <w:b/>
          <w:szCs w:val="21"/>
        </w:rPr>
        <w:t>条</w:t>
      </w:r>
      <w:r>
        <w:rPr>
          <w:rFonts w:hint="eastAsia" w:ascii="宋体" w:hAnsi="宋体" w:cs="仿宋_GB2312"/>
          <w:szCs w:val="21"/>
        </w:rPr>
        <w:t xml:space="preserve"> </w:t>
      </w:r>
      <w:r>
        <w:rPr>
          <w:rFonts w:hint="eastAsia" w:ascii="宋体" w:hAnsi="宋体" w:cs="仿宋_GB2312"/>
          <w:b/>
          <w:szCs w:val="21"/>
        </w:rPr>
        <w:t>不可抗力</w:t>
      </w:r>
    </w:p>
    <w:p w14:paraId="3DCAF24C">
      <w:pPr>
        <w:spacing w:line="360" w:lineRule="auto"/>
        <w:ind w:firstLine="420" w:firstLineChars="200"/>
        <w:rPr>
          <w:rFonts w:hint="eastAsia" w:ascii="宋体" w:hAnsi="宋体" w:cs="仿宋_GB2312"/>
          <w:szCs w:val="21"/>
        </w:rPr>
      </w:pPr>
      <w:r>
        <w:rPr>
          <w:rFonts w:hint="eastAsia" w:ascii="宋体" w:hAnsi="宋体" w:cs="仿宋_GB2312"/>
          <w:szCs w:val="21"/>
        </w:rPr>
        <w:t>1.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14:paraId="64A187BA">
      <w:pPr>
        <w:spacing w:line="360" w:lineRule="auto"/>
        <w:ind w:firstLine="420" w:firstLineChars="200"/>
        <w:rPr>
          <w:rFonts w:hint="eastAsia" w:ascii="宋体" w:hAnsi="宋体" w:cs="仿宋_GB2312"/>
          <w:szCs w:val="21"/>
        </w:rPr>
      </w:pPr>
      <w:r>
        <w:rPr>
          <w:rFonts w:hint="eastAsia" w:ascii="宋体" w:hAnsi="宋体" w:cs="仿宋_GB2312"/>
          <w:szCs w:val="21"/>
        </w:rPr>
        <w:t>2.本合同任何一方均不对因不可抗力无法履行或迟延履行义务而使对方遭受到任何损失承担责任，但遭受不可抗力影响的一方有责任采取适当和必要的措施减轻或消除不可抗力的影响。遭受不可抗力影响的一方应当对未尽本项责任造成或扩大的损失承担责任。</w:t>
      </w:r>
    </w:p>
    <w:p w14:paraId="7D0E094A">
      <w:pPr>
        <w:spacing w:line="360" w:lineRule="auto"/>
        <w:ind w:firstLine="420" w:firstLineChars="200"/>
        <w:rPr>
          <w:rFonts w:hint="eastAsia" w:ascii="宋体" w:hAnsi="宋体" w:cs="仿宋_GB2312"/>
          <w:szCs w:val="21"/>
        </w:rPr>
      </w:pPr>
      <w:r>
        <w:rPr>
          <w:rFonts w:hint="eastAsia" w:ascii="宋体" w:hAnsi="宋体" w:cs="仿宋_GB2312"/>
          <w:szCs w:val="21"/>
        </w:rPr>
        <w:t>3.合同一方迟延履行后发生不可抗力的，不能免除其责任。</w:t>
      </w:r>
    </w:p>
    <w:p w14:paraId="6D8D7D6D">
      <w:pPr>
        <w:spacing w:line="360" w:lineRule="auto"/>
        <w:ind w:firstLine="420" w:firstLineChars="200"/>
        <w:rPr>
          <w:rFonts w:hint="eastAsia" w:ascii="宋体" w:hAnsi="宋体"/>
          <w:szCs w:val="21"/>
        </w:rPr>
      </w:pPr>
      <w:r>
        <w:rPr>
          <w:rFonts w:hint="eastAsia" w:ascii="宋体" w:hAnsi="宋体" w:cs="仿宋_GB2312"/>
          <w:szCs w:val="21"/>
        </w:rPr>
        <w:t>4.不可抗力因素消除后，双方应立即进行磋商，就不可抗力所造成影响程度甲方有权决定是否继续履行或者终止本合同。如果甲方决定终止合同，如甲方已经付款，乙方应将已交付部分的款项在5日内向甲方返还。</w:t>
      </w:r>
    </w:p>
    <w:p w14:paraId="48D79AA1">
      <w:pPr>
        <w:spacing w:line="360" w:lineRule="auto"/>
        <w:ind w:firstLine="422" w:firstLineChars="200"/>
        <w:rPr>
          <w:rFonts w:hint="eastAsia" w:ascii="宋体" w:hAnsi="宋体"/>
          <w:szCs w:val="21"/>
        </w:rPr>
      </w:pPr>
      <w:r>
        <w:rPr>
          <w:rFonts w:hint="eastAsia" w:ascii="宋体" w:hAnsi="宋体" w:cs="仿宋_GB2312"/>
          <w:b/>
          <w:szCs w:val="21"/>
        </w:rPr>
        <w:t>第二十条</w:t>
      </w:r>
      <w:r>
        <w:rPr>
          <w:rFonts w:hint="eastAsia" w:ascii="宋体" w:hAnsi="宋体" w:cs="仿宋_GB2312"/>
          <w:szCs w:val="21"/>
        </w:rPr>
        <w:t xml:space="preserve"> </w:t>
      </w:r>
      <w:r>
        <w:rPr>
          <w:rFonts w:hint="eastAsia" w:ascii="宋体" w:hAnsi="宋体" w:cs="仿宋_GB2312"/>
          <w:b/>
          <w:szCs w:val="21"/>
        </w:rPr>
        <w:t>法律适用与争议解决</w:t>
      </w:r>
    </w:p>
    <w:p w14:paraId="6F489A7D">
      <w:pPr>
        <w:spacing w:line="360" w:lineRule="auto"/>
        <w:ind w:firstLine="420" w:firstLineChars="200"/>
        <w:rPr>
          <w:rFonts w:hint="eastAsia" w:ascii="宋体" w:hAnsi="宋体" w:cs="仿宋_GB2312"/>
          <w:szCs w:val="21"/>
        </w:rPr>
      </w:pPr>
      <w:r>
        <w:rPr>
          <w:rFonts w:hint="eastAsia" w:ascii="宋体" w:hAnsi="宋体" w:cs="仿宋_GB2312"/>
          <w:szCs w:val="21"/>
        </w:rPr>
        <w:t>1.本合同的订立、效力、解释、履行和争议的解决均适用中华人民共和国法律（仅为本合同之目的，不包括中国香港、中国澳门、中国台湾地区法律）。</w:t>
      </w:r>
    </w:p>
    <w:p w14:paraId="3A9FB0F0">
      <w:pPr>
        <w:spacing w:line="360" w:lineRule="auto"/>
        <w:ind w:firstLine="420" w:firstLineChars="200"/>
        <w:rPr>
          <w:rFonts w:hint="eastAsia" w:ascii="宋体" w:hAnsi="宋体" w:cs="仿宋_GB2312"/>
          <w:szCs w:val="21"/>
        </w:rPr>
      </w:pPr>
      <w:r>
        <w:rPr>
          <w:rFonts w:hint="eastAsia" w:ascii="宋体" w:hAnsi="宋体" w:cs="仿宋_GB2312"/>
          <w:szCs w:val="21"/>
        </w:rPr>
        <w:t>2.凡因本合同引起的或与本合同有关的任何争议，双方首先应友好协商解决。协商不成的，任何一方均有权将争议提交北京仲裁委员会，按照申请仲裁时该会现行有效的仲裁规则进行仲裁。仲裁裁决是终局的，对双方均具有约束力。</w:t>
      </w:r>
    </w:p>
    <w:p w14:paraId="05E8EF06">
      <w:pPr>
        <w:spacing w:line="360" w:lineRule="auto"/>
        <w:ind w:firstLine="422" w:firstLineChars="200"/>
        <w:rPr>
          <w:rFonts w:hint="eastAsia" w:ascii="宋体" w:hAnsi="宋体" w:cs="仿宋_GB2312"/>
          <w:b/>
          <w:szCs w:val="21"/>
        </w:rPr>
      </w:pPr>
      <w:r>
        <w:rPr>
          <w:rFonts w:hint="eastAsia" w:ascii="宋体" w:hAnsi="宋体" w:cs="仿宋_GB2312"/>
          <w:b/>
          <w:szCs w:val="21"/>
        </w:rPr>
        <w:t>第二十一条 修改、补充与续签</w:t>
      </w:r>
    </w:p>
    <w:p w14:paraId="60E51CB6">
      <w:pPr>
        <w:spacing w:line="360" w:lineRule="auto"/>
        <w:ind w:firstLine="420" w:firstLineChars="200"/>
        <w:rPr>
          <w:rFonts w:hint="eastAsia" w:ascii="宋体" w:hAnsi="宋体" w:cs="仿宋_GB2312"/>
          <w:szCs w:val="21"/>
        </w:rPr>
      </w:pPr>
      <w:r>
        <w:rPr>
          <w:rFonts w:hint="eastAsia" w:ascii="宋体" w:hAnsi="宋体" w:cs="仿宋_GB2312"/>
          <w:szCs w:val="21"/>
        </w:rPr>
        <w:t>1.本合同可经双方协商一致后进行书面修改或补充，由此形成的补充合同，与本合同具有相同法律效力。</w:t>
      </w:r>
    </w:p>
    <w:p w14:paraId="2B92402A">
      <w:pPr>
        <w:spacing w:line="360" w:lineRule="auto"/>
        <w:ind w:firstLine="420" w:firstLineChars="200"/>
        <w:rPr>
          <w:rFonts w:hint="eastAsia" w:ascii="宋体" w:hAnsi="宋体" w:cs="仿宋_GB2312"/>
          <w:szCs w:val="21"/>
        </w:rPr>
      </w:pPr>
      <w:r>
        <w:rPr>
          <w:rFonts w:hint="eastAsia" w:ascii="宋体" w:hAnsi="宋体" w:cs="仿宋_GB2312"/>
          <w:szCs w:val="21"/>
        </w:rPr>
        <w:t>2.本合同期限为1年，自202</w:t>
      </w:r>
      <w:r>
        <w:rPr>
          <w:rFonts w:hint="eastAsia" w:ascii="宋体" w:hAnsi="宋体" w:cs="仿宋_GB2312"/>
          <w:szCs w:val="21"/>
          <w:lang w:val="en-US" w:eastAsia="zh-CN"/>
        </w:rPr>
        <w:t>5</w:t>
      </w:r>
      <w:r>
        <w:rPr>
          <w:rFonts w:hint="eastAsia" w:ascii="宋体" w:hAnsi="宋体" w:cs="仿宋_GB2312"/>
          <w:szCs w:val="21"/>
        </w:rPr>
        <w:t>年</w:t>
      </w:r>
      <w:r>
        <w:rPr>
          <w:rFonts w:hint="eastAsia" w:ascii="宋体" w:hAnsi="宋体" w:cs="仿宋_GB2312"/>
          <w:szCs w:val="21"/>
          <w:lang w:val="en-US" w:eastAsia="zh-CN"/>
        </w:rPr>
        <w:t>3</w:t>
      </w:r>
      <w:r>
        <w:rPr>
          <w:rFonts w:hint="eastAsia" w:ascii="宋体" w:hAnsi="宋体" w:cs="仿宋_GB2312"/>
          <w:szCs w:val="21"/>
        </w:rPr>
        <w:t>月</w:t>
      </w:r>
      <w:r>
        <w:rPr>
          <w:rFonts w:hint="eastAsia" w:ascii="宋体" w:hAnsi="宋体" w:cs="仿宋_GB2312"/>
          <w:szCs w:val="21"/>
          <w:lang w:val="en-US" w:eastAsia="zh-CN"/>
        </w:rPr>
        <w:t>1</w:t>
      </w:r>
      <w:r>
        <w:rPr>
          <w:rFonts w:hint="eastAsia" w:ascii="宋体" w:hAnsi="宋体" w:cs="仿宋_GB2312"/>
          <w:szCs w:val="21"/>
        </w:rPr>
        <w:t>日起至202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2</w:t>
      </w:r>
      <w:r>
        <w:rPr>
          <w:rFonts w:hint="eastAsia" w:ascii="宋体" w:hAnsi="宋体" w:cs="仿宋_GB2312"/>
          <w:szCs w:val="21"/>
        </w:rPr>
        <w:t>月</w:t>
      </w:r>
      <w:r>
        <w:rPr>
          <w:rFonts w:hint="eastAsia" w:ascii="宋体" w:hAnsi="宋体" w:cs="仿宋_GB2312"/>
          <w:szCs w:val="21"/>
          <w:lang w:val="en-US" w:eastAsia="zh-CN"/>
        </w:rPr>
        <w:t>28</w:t>
      </w:r>
      <w:r>
        <w:rPr>
          <w:rFonts w:hint="eastAsia" w:ascii="宋体" w:hAnsi="宋体" w:cs="仿宋_GB2312"/>
          <w:szCs w:val="21"/>
        </w:rPr>
        <w:t>日止。合同期限届满前60天，经甲方书面同意，合同期限可延长1年，至202</w:t>
      </w:r>
      <w:r>
        <w:rPr>
          <w:rFonts w:hint="eastAsia" w:ascii="宋体" w:hAnsi="宋体" w:cs="仿宋_GB2312"/>
          <w:szCs w:val="21"/>
          <w:lang w:val="en-US" w:eastAsia="zh-CN"/>
        </w:rPr>
        <w:t>7</w:t>
      </w:r>
      <w:r>
        <w:rPr>
          <w:rFonts w:hint="eastAsia" w:ascii="宋体" w:hAnsi="宋体" w:cs="仿宋_GB2312"/>
          <w:szCs w:val="21"/>
        </w:rPr>
        <w:t>年</w:t>
      </w:r>
      <w:r>
        <w:rPr>
          <w:rFonts w:hint="eastAsia" w:ascii="宋体" w:hAnsi="宋体" w:cs="仿宋_GB2312"/>
          <w:szCs w:val="21"/>
          <w:lang w:val="en-US" w:eastAsia="zh-CN"/>
        </w:rPr>
        <w:t>2</w:t>
      </w:r>
      <w:r>
        <w:rPr>
          <w:rFonts w:hint="eastAsia" w:ascii="宋体" w:hAnsi="宋体" w:cs="仿宋_GB2312"/>
          <w:szCs w:val="21"/>
        </w:rPr>
        <w:t>月</w:t>
      </w:r>
      <w:r>
        <w:rPr>
          <w:rFonts w:hint="eastAsia" w:ascii="宋体" w:hAnsi="宋体" w:cs="仿宋_GB2312"/>
          <w:szCs w:val="21"/>
          <w:lang w:val="en-US" w:eastAsia="zh-CN"/>
        </w:rPr>
        <w:t>28</w:t>
      </w:r>
      <w:r>
        <w:rPr>
          <w:rFonts w:hint="eastAsia" w:ascii="宋体" w:hAnsi="宋体" w:cs="仿宋_GB2312"/>
          <w:szCs w:val="21"/>
        </w:rPr>
        <w:t>日止。</w:t>
      </w:r>
    </w:p>
    <w:p w14:paraId="69968CAC">
      <w:pPr>
        <w:spacing w:line="360" w:lineRule="auto"/>
        <w:ind w:firstLine="420" w:firstLineChars="200"/>
        <w:rPr>
          <w:rFonts w:hint="eastAsia" w:ascii="宋体" w:hAnsi="宋体" w:cs="仿宋_GB2312"/>
          <w:szCs w:val="21"/>
        </w:rPr>
      </w:pPr>
      <w:r>
        <w:rPr>
          <w:rFonts w:hint="eastAsia" w:ascii="宋体" w:hAnsi="宋体" w:cs="仿宋_GB2312"/>
          <w:szCs w:val="21"/>
        </w:rPr>
        <w:t>3.对本合同的任何变更或补充，须经甲乙双方协商一致，并另行签订书面补充协议。</w:t>
      </w:r>
    </w:p>
    <w:p w14:paraId="0BA01228">
      <w:pPr>
        <w:spacing w:line="360" w:lineRule="auto"/>
        <w:ind w:firstLine="422" w:firstLineChars="200"/>
        <w:rPr>
          <w:rFonts w:hint="eastAsia" w:ascii="宋体" w:hAnsi="宋体" w:cs="楷体"/>
          <w:szCs w:val="21"/>
        </w:rPr>
      </w:pPr>
      <w:r>
        <w:rPr>
          <w:rFonts w:hint="eastAsia" w:ascii="宋体" w:hAnsi="宋体" w:cs="仿宋_GB2312"/>
          <w:b/>
          <w:szCs w:val="21"/>
        </w:rPr>
        <w:t>第二十二</w:t>
      </w:r>
      <w:r>
        <w:rPr>
          <w:rFonts w:hint="eastAsia" w:ascii="宋体" w:hAnsi="宋体" w:cs="楷体"/>
          <w:b/>
          <w:szCs w:val="21"/>
        </w:rPr>
        <w:t>条</w:t>
      </w:r>
      <w:r>
        <w:rPr>
          <w:rFonts w:hint="eastAsia" w:ascii="宋体" w:hAnsi="宋体"/>
          <w:szCs w:val="21"/>
        </w:rPr>
        <w:t xml:space="preserve"> </w:t>
      </w:r>
      <w:r>
        <w:rPr>
          <w:rFonts w:hint="eastAsia" w:ascii="宋体" w:hAnsi="宋体" w:cs="楷体"/>
          <w:b/>
          <w:szCs w:val="21"/>
        </w:rPr>
        <w:t>责任的免除</w:t>
      </w:r>
    </w:p>
    <w:p w14:paraId="086A9325">
      <w:pPr>
        <w:spacing w:line="360" w:lineRule="auto"/>
        <w:ind w:firstLine="420" w:firstLineChars="200"/>
        <w:rPr>
          <w:rFonts w:hint="eastAsia" w:ascii="宋体" w:hAnsi="宋体" w:cs="仿宋_GB2312"/>
          <w:szCs w:val="21"/>
        </w:rPr>
      </w:pPr>
      <w:r>
        <w:rPr>
          <w:rFonts w:hint="eastAsia" w:ascii="宋体" w:hAnsi="宋体" w:cs="仿宋_GB2312"/>
          <w:szCs w:val="21"/>
        </w:rPr>
        <w:t>1.如遇不可抗力，造成合同无法执行时，双方互不承担责任。</w:t>
      </w:r>
    </w:p>
    <w:p w14:paraId="1A2E61CF">
      <w:pPr>
        <w:spacing w:line="360" w:lineRule="auto"/>
        <w:ind w:firstLine="420" w:firstLineChars="200"/>
        <w:rPr>
          <w:rFonts w:hint="eastAsia" w:ascii="宋体" w:hAnsi="宋体" w:cs="仿宋_GB2312"/>
          <w:szCs w:val="21"/>
        </w:rPr>
      </w:pPr>
      <w:r>
        <w:rPr>
          <w:rFonts w:hint="eastAsia" w:ascii="宋体" w:hAnsi="宋体" w:cs="仿宋_GB2312"/>
          <w:szCs w:val="21"/>
        </w:rPr>
        <w:t>2.对下列甲方无法控制的原因而给乙方及其他人员的财产及人身造成损害，甲方不承担任何责任：</w:t>
      </w:r>
    </w:p>
    <w:p w14:paraId="25073ED0">
      <w:pPr>
        <w:spacing w:line="360" w:lineRule="auto"/>
        <w:ind w:firstLine="420" w:firstLineChars="200"/>
        <w:rPr>
          <w:rFonts w:hint="eastAsia" w:ascii="宋体" w:hAnsi="宋体"/>
          <w:szCs w:val="21"/>
        </w:rPr>
      </w:pPr>
      <w:r>
        <w:rPr>
          <w:rFonts w:hint="eastAsia" w:ascii="宋体" w:hAnsi="宋体" w:cs="仿宋_GB2312"/>
          <w:szCs w:val="21"/>
        </w:rPr>
        <w:t>2.1未进</w:t>
      </w:r>
      <w:r>
        <w:rPr>
          <w:rFonts w:hint="eastAsia" w:ascii="宋体" w:hAnsi="宋体"/>
          <w:szCs w:val="21"/>
        </w:rPr>
        <w:t>行必要的建筑物的维护保养工程，以及非甲方的原因（含突发性设施故障，包括但不限于空调、电力、煤气等）致使公用设施停止使用时；</w:t>
      </w:r>
    </w:p>
    <w:p w14:paraId="7712390C">
      <w:pPr>
        <w:spacing w:line="360" w:lineRule="auto"/>
        <w:ind w:firstLine="420" w:firstLineChars="200"/>
        <w:rPr>
          <w:rFonts w:hint="eastAsia" w:ascii="宋体" w:hAnsi="宋体"/>
          <w:szCs w:val="21"/>
        </w:rPr>
      </w:pPr>
      <w:r>
        <w:rPr>
          <w:rFonts w:hint="eastAsia" w:ascii="宋体" w:hAnsi="宋体"/>
          <w:szCs w:val="21"/>
        </w:rPr>
        <w:t>2.2由于乙方的原因造成任何公共设施、管道受损、毁坏而中断使用或需中断使用进行维修时；</w:t>
      </w:r>
    </w:p>
    <w:p w14:paraId="0ED6D6A1">
      <w:pPr>
        <w:spacing w:line="360" w:lineRule="auto"/>
        <w:ind w:firstLine="420" w:firstLineChars="200"/>
        <w:rPr>
          <w:rFonts w:hint="eastAsia" w:ascii="宋体" w:hAnsi="宋体"/>
          <w:szCs w:val="21"/>
        </w:rPr>
      </w:pPr>
      <w:r>
        <w:rPr>
          <w:rFonts w:hint="eastAsia" w:ascii="宋体" w:hAnsi="宋体"/>
          <w:szCs w:val="21"/>
        </w:rPr>
        <w:t>2.3由于乙方的原因导致供电的电流变化；</w:t>
      </w:r>
    </w:p>
    <w:p w14:paraId="1FCE77F7">
      <w:pPr>
        <w:spacing w:line="360" w:lineRule="auto"/>
        <w:ind w:firstLine="420" w:firstLineChars="200"/>
        <w:rPr>
          <w:rFonts w:hint="eastAsia" w:ascii="宋体" w:hAnsi="宋体"/>
          <w:szCs w:val="21"/>
        </w:rPr>
      </w:pPr>
      <w:r>
        <w:rPr>
          <w:rFonts w:hint="eastAsia" w:ascii="宋体" w:hAnsi="宋体"/>
          <w:szCs w:val="21"/>
        </w:rPr>
        <w:t>2.4由于乙方的原因导致火灾、漏水、漏电造成的损失；</w:t>
      </w:r>
    </w:p>
    <w:p w14:paraId="2C3CD065">
      <w:pPr>
        <w:spacing w:line="360" w:lineRule="auto"/>
        <w:ind w:firstLine="420" w:firstLineChars="200"/>
        <w:rPr>
          <w:rFonts w:hint="eastAsia" w:ascii="宋体" w:hAnsi="宋体"/>
          <w:szCs w:val="21"/>
        </w:rPr>
      </w:pPr>
      <w:r>
        <w:rPr>
          <w:rFonts w:hint="eastAsia" w:ascii="宋体" w:hAnsi="宋体"/>
          <w:szCs w:val="21"/>
        </w:rPr>
        <w:t>2.5由于自然灾害等不可抗力以及</w:t>
      </w:r>
      <w:r>
        <w:rPr>
          <w:rFonts w:hint="eastAsia" w:ascii="宋体" w:hAnsi="宋体"/>
          <w:szCs w:val="21"/>
          <w:lang w:val="en-US" w:eastAsia="zh-CN"/>
        </w:rPr>
        <w:t>中国机械总院</w:t>
      </w:r>
      <w:r>
        <w:rPr>
          <w:rFonts w:hint="eastAsia" w:ascii="宋体" w:hAnsi="宋体"/>
          <w:szCs w:val="21"/>
        </w:rPr>
        <w:t>内、外不能归咎于甲方的原因，使乙方人身或财产蒙受损失时；</w:t>
      </w:r>
    </w:p>
    <w:p w14:paraId="2B4CF22C">
      <w:pPr>
        <w:spacing w:line="360" w:lineRule="auto"/>
        <w:ind w:firstLine="420" w:firstLineChars="200"/>
        <w:rPr>
          <w:rFonts w:hint="eastAsia" w:ascii="宋体" w:hAnsi="宋体"/>
          <w:szCs w:val="21"/>
        </w:rPr>
      </w:pPr>
      <w:r>
        <w:rPr>
          <w:rFonts w:hint="eastAsia" w:ascii="宋体" w:hAnsi="宋体"/>
          <w:szCs w:val="21"/>
        </w:rPr>
        <w:t>2.6由于乙方或任何第三者原因所造成乙方或第三者的人身伤害或财产损失；</w:t>
      </w:r>
    </w:p>
    <w:p w14:paraId="79D11298">
      <w:pPr>
        <w:spacing w:line="360" w:lineRule="auto"/>
        <w:ind w:firstLine="420" w:firstLineChars="200"/>
        <w:rPr>
          <w:rFonts w:hint="eastAsia" w:ascii="宋体" w:hAnsi="宋体"/>
          <w:szCs w:val="21"/>
        </w:rPr>
      </w:pPr>
      <w:r>
        <w:rPr>
          <w:rFonts w:hint="eastAsia" w:ascii="宋体" w:hAnsi="宋体"/>
          <w:szCs w:val="21"/>
        </w:rPr>
        <w:t>2.7由于公共设施中断的原因导致燃料、材料、水、电等的供应缺乏的（乙方应采取应急措施）。</w:t>
      </w:r>
    </w:p>
    <w:p w14:paraId="0870A428">
      <w:pPr>
        <w:spacing w:line="360" w:lineRule="auto"/>
        <w:ind w:firstLine="422" w:firstLineChars="200"/>
        <w:rPr>
          <w:rFonts w:hint="eastAsia" w:ascii="宋体" w:hAnsi="宋体" w:cs="楷体"/>
          <w:szCs w:val="21"/>
        </w:rPr>
      </w:pPr>
      <w:r>
        <w:rPr>
          <w:rFonts w:hint="eastAsia" w:ascii="宋体" w:hAnsi="宋体" w:cs="仿宋_GB2312"/>
          <w:b/>
          <w:szCs w:val="21"/>
        </w:rPr>
        <w:t>第二十三条</w:t>
      </w:r>
      <w:r>
        <w:rPr>
          <w:rFonts w:hint="eastAsia" w:ascii="宋体" w:hAnsi="宋体" w:cs="仿宋_GB2312"/>
          <w:szCs w:val="21"/>
        </w:rPr>
        <w:t xml:space="preserve"> </w:t>
      </w:r>
      <w:r>
        <w:rPr>
          <w:rFonts w:hint="eastAsia" w:ascii="宋体" w:hAnsi="宋体" w:cs="仿宋_GB2312"/>
          <w:b/>
          <w:szCs w:val="21"/>
        </w:rPr>
        <w:t>合同</w:t>
      </w:r>
      <w:r>
        <w:rPr>
          <w:rFonts w:hint="eastAsia" w:ascii="宋体" w:hAnsi="宋体" w:cs="楷体"/>
          <w:b/>
          <w:szCs w:val="21"/>
        </w:rPr>
        <w:t>生效</w:t>
      </w:r>
      <w:r>
        <w:rPr>
          <w:rFonts w:hint="eastAsia" w:ascii="宋体" w:hAnsi="宋体" w:cs="仿宋_GB2312"/>
          <w:b/>
          <w:szCs w:val="21"/>
        </w:rPr>
        <w:t>及其他</w:t>
      </w:r>
    </w:p>
    <w:p w14:paraId="6904B157">
      <w:pPr>
        <w:spacing w:line="360" w:lineRule="auto"/>
        <w:ind w:firstLine="420" w:firstLineChars="200"/>
        <w:rPr>
          <w:rFonts w:hint="eastAsia" w:ascii="宋体" w:hAnsi="宋体"/>
          <w:szCs w:val="21"/>
        </w:rPr>
      </w:pPr>
      <w:r>
        <w:rPr>
          <w:rFonts w:hint="eastAsia" w:ascii="宋体" w:hAnsi="宋体"/>
          <w:szCs w:val="21"/>
        </w:rPr>
        <w:t>1.本合同经甲乙双方法定代表人或授权代表签字并加盖公章后生效。</w:t>
      </w:r>
    </w:p>
    <w:p w14:paraId="1CB2FAFD">
      <w:pPr>
        <w:spacing w:line="360" w:lineRule="auto"/>
        <w:ind w:firstLine="420" w:firstLineChars="200"/>
        <w:rPr>
          <w:rFonts w:hint="eastAsia" w:ascii="宋体" w:hAnsi="宋体"/>
          <w:szCs w:val="21"/>
        </w:rPr>
      </w:pPr>
      <w:r>
        <w:rPr>
          <w:rFonts w:hint="eastAsia" w:ascii="宋体" w:hAnsi="宋体"/>
          <w:szCs w:val="21"/>
        </w:rPr>
        <w:t>2.本合同一式四份，其中正本两份，副本两份。甲方执一份正本，一份副本；乙方执一份正本，一份副本。</w:t>
      </w:r>
    </w:p>
    <w:p w14:paraId="5D05F219">
      <w:pPr>
        <w:spacing w:line="360" w:lineRule="auto"/>
        <w:ind w:firstLine="420" w:firstLineChars="200"/>
        <w:rPr>
          <w:rFonts w:hint="eastAsia" w:ascii="宋体" w:hAnsi="宋体"/>
          <w:szCs w:val="21"/>
        </w:rPr>
      </w:pPr>
      <w:r>
        <w:rPr>
          <w:rFonts w:hint="eastAsia" w:ascii="宋体" w:hAnsi="宋体"/>
          <w:szCs w:val="21"/>
        </w:rPr>
        <w:t>3.无论本合同是否有相反约定，本合同附件（如有）作为本合同的组成部分，与本合同具有同等法律效力，当附件条款与本合同条款发生冲突时，以本合同条款为准。</w:t>
      </w:r>
    </w:p>
    <w:p w14:paraId="03CD4BBC">
      <w:pPr>
        <w:spacing w:line="360" w:lineRule="auto"/>
        <w:ind w:firstLine="420" w:firstLineChars="200"/>
        <w:rPr>
          <w:rFonts w:hint="eastAsia" w:ascii="宋体" w:hAnsi="宋体"/>
          <w:szCs w:val="21"/>
        </w:rPr>
      </w:pPr>
      <w:r>
        <w:rPr>
          <w:rFonts w:hint="eastAsia" w:ascii="宋体" w:hAnsi="宋体"/>
          <w:szCs w:val="21"/>
        </w:rPr>
        <w:t>4.本合同及合同附件（如有）是甲乙双方关于本次交易所最终确定的全部内容，甲乙双方均承认其已审阅、理解本合同及合同附件的内容，并同意取代甲乙双方之间此前关于本次交易所作出的任何口头或书面的承诺。</w:t>
      </w:r>
    </w:p>
    <w:p w14:paraId="12DE0D78">
      <w:pPr>
        <w:spacing w:line="360" w:lineRule="auto"/>
        <w:ind w:firstLine="420" w:firstLineChars="200"/>
        <w:rPr>
          <w:rFonts w:hint="eastAsia" w:ascii="宋体" w:hAnsi="宋体"/>
          <w:szCs w:val="21"/>
        </w:rPr>
      </w:pPr>
      <w:r>
        <w:rPr>
          <w:rFonts w:hint="eastAsia" w:ascii="宋体" w:hAnsi="宋体"/>
          <w:szCs w:val="21"/>
        </w:rPr>
        <w:t>5.由于法律和法规、政策而导致本合同任何条款无效或无法执行，则该条款无效，但不影响剩余其他条款的效力。</w:t>
      </w:r>
    </w:p>
    <w:p w14:paraId="3661C1A0">
      <w:pPr>
        <w:spacing w:line="360" w:lineRule="auto"/>
        <w:ind w:firstLine="420" w:firstLineChars="200"/>
        <w:rPr>
          <w:rFonts w:hint="eastAsia" w:ascii="宋体" w:hAnsi="宋体" w:cs="仿宋_GB2312"/>
          <w:szCs w:val="21"/>
        </w:rPr>
      </w:pPr>
    </w:p>
    <w:p w14:paraId="71F32780">
      <w:pPr>
        <w:spacing w:line="360" w:lineRule="auto"/>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附件：1.餐饮管理服务费明细</w:t>
      </w:r>
    </w:p>
    <w:p w14:paraId="22FF7E27">
      <w:pPr>
        <w:spacing w:line="360" w:lineRule="auto"/>
        <w:ind w:firstLine="420" w:firstLineChars="200"/>
        <w:rPr>
          <w:rFonts w:hint="default" w:ascii="宋体" w:hAnsi="宋体" w:cs="仿宋_GB2312"/>
          <w:szCs w:val="21"/>
          <w:lang w:val="en-US" w:eastAsia="zh-CN"/>
        </w:rPr>
      </w:pPr>
      <w:r>
        <w:rPr>
          <w:rFonts w:hint="eastAsia" w:ascii="宋体" w:hAnsi="宋体" w:cs="仿宋_GB2312"/>
          <w:szCs w:val="21"/>
          <w:lang w:val="en-US" w:eastAsia="zh-CN"/>
        </w:rPr>
        <w:t xml:space="preserve">      2.餐饮服务管理技术要求</w:t>
      </w:r>
    </w:p>
    <w:p w14:paraId="3D9F0110">
      <w:pPr>
        <w:spacing w:line="360" w:lineRule="auto"/>
        <w:ind w:firstLine="420" w:firstLineChars="200"/>
        <w:rPr>
          <w:rFonts w:hint="default" w:ascii="宋体" w:hAnsi="宋体" w:eastAsia="宋体" w:cs="仿宋_GB2312"/>
          <w:szCs w:val="21"/>
          <w:lang w:val="en-US" w:eastAsia="zh-CN"/>
        </w:rPr>
      </w:pPr>
      <w:r>
        <w:rPr>
          <w:rFonts w:hint="eastAsia" w:ascii="宋体" w:hAnsi="宋体" w:cs="仿宋_GB2312"/>
          <w:szCs w:val="21"/>
          <w:lang w:val="en-US" w:eastAsia="zh-CN"/>
        </w:rPr>
        <w:t xml:space="preserve">      3.餐饮服务质量考核细则</w:t>
      </w:r>
    </w:p>
    <w:p w14:paraId="02EB03B6">
      <w:pPr>
        <w:spacing w:line="360" w:lineRule="auto"/>
        <w:ind w:firstLine="420" w:firstLineChars="200"/>
        <w:rPr>
          <w:rFonts w:hint="default" w:ascii="宋体" w:hAnsi="宋体" w:eastAsia="宋体" w:cs="仿宋_GB2312"/>
          <w:szCs w:val="21"/>
          <w:lang w:val="en-US" w:eastAsia="zh-CN"/>
        </w:rPr>
      </w:pPr>
      <w:r>
        <w:rPr>
          <w:rFonts w:hint="eastAsia" w:ascii="宋体" w:hAnsi="宋体" w:cs="仿宋_GB2312"/>
          <w:szCs w:val="21"/>
          <w:lang w:val="en-US" w:eastAsia="zh-CN"/>
        </w:rPr>
        <w:t xml:space="preserve">      4.餐饮管理服务费明细</w:t>
      </w:r>
    </w:p>
    <w:p w14:paraId="132928AF">
      <w:pPr>
        <w:spacing w:line="360" w:lineRule="auto"/>
        <w:ind w:firstLine="420" w:firstLineChars="200"/>
        <w:rPr>
          <w:rFonts w:hint="eastAsia" w:ascii="宋体" w:hAnsi="宋体" w:cs="仿宋_GB2312"/>
          <w:szCs w:val="21"/>
        </w:rPr>
      </w:pPr>
    </w:p>
    <w:p w14:paraId="39154540">
      <w:pPr>
        <w:spacing w:line="360" w:lineRule="auto"/>
        <w:ind w:firstLine="420" w:firstLineChars="200"/>
        <w:rPr>
          <w:rFonts w:hint="eastAsia" w:ascii="宋体" w:hAnsi="宋体" w:cs="仿宋_GB2312"/>
          <w:szCs w:val="21"/>
        </w:rPr>
      </w:pPr>
    </w:p>
    <w:p w14:paraId="5F861724">
      <w:pPr>
        <w:spacing w:line="360" w:lineRule="auto"/>
        <w:ind w:firstLine="420" w:firstLineChars="200"/>
        <w:rPr>
          <w:rFonts w:hint="eastAsia" w:ascii="宋体" w:hAnsi="宋体" w:cs="仿宋_GB2312"/>
          <w:szCs w:val="21"/>
        </w:rPr>
      </w:pPr>
      <w:r>
        <w:rPr>
          <w:rFonts w:hint="eastAsia" w:ascii="宋体" w:hAnsi="宋体" w:cs="仿宋_GB2312"/>
          <w:szCs w:val="21"/>
        </w:rPr>
        <w:t>甲方：</w:t>
      </w:r>
      <w:r>
        <w:rPr>
          <w:rFonts w:hint="eastAsia" w:ascii="宋体" w:hAnsi="宋体" w:cs="仿宋_GB2312"/>
          <w:szCs w:val="21"/>
          <w:lang w:val="en-US" w:eastAsia="zh-CN"/>
        </w:rPr>
        <w:t>中国机械科学研究总院集团有限公司</w:t>
      </w:r>
      <w:r>
        <w:rPr>
          <w:rFonts w:hint="eastAsia" w:ascii="宋体" w:hAnsi="宋体" w:cs="仿宋_GB2312"/>
          <w:szCs w:val="21"/>
        </w:rPr>
        <w:t xml:space="preserve">       乙方：</w:t>
      </w:r>
    </w:p>
    <w:p w14:paraId="1F765D12">
      <w:pPr>
        <w:spacing w:line="360" w:lineRule="auto"/>
        <w:ind w:firstLine="420" w:firstLineChars="200"/>
        <w:rPr>
          <w:rFonts w:hint="eastAsia" w:ascii="宋体" w:hAnsi="宋体" w:cs="仿宋_GB2312"/>
          <w:szCs w:val="21"/>
        </w:rPr>
      </w:pPr>
    </w:p>
    <w:p w14:paraId="4AD41666">
      <w:pPr>
        <w:spacing w:line="360" w:lineRule="auto"/>
        <w:ind w:firstLine="420" w:firstLineChars="200"/>
        <w:rPr>
          <w:rFonts w:hint="eastAsia" w:ascii="宋体" w:hAnsi="宋体" w:cs="仿宋_GB2312"/>
          <w:szCs w:val="21"/>
        </w:rPr>
      </w:pPr>
      <w:r>
        <w:rPr>
          <w:rFonts w:hint="eastAsia" w:ascii="宋体" w:hAnsi="宋体" w:cs="仿宋_GB2312"/>
          <w:szCs w:val="21"/>
        </w:rPr>
        <w:t xml:space="preserve">法定代表人或授权人：                      </w:t>
      </w:r>
      <w:r>
        <w:rPr>
          <w:rFonts w:hint="eastAsia" w:ascii="宋体" w:hAnsi="宋体" w:cs="仿宋_GB2312"/>
          <w:szCs w:val="21"/>
          <w:lang w:val="en-US" w:eastAsia="zh-CN"/>
        </w:rPr>
        <w:t xml:space="preserve">  </w:t>
      </w:r>
      <w:r>
        <w:rPr>
          <w:rFonts w:hint="eastAsia" w:ascii="宋体" w:hAnsi="宋体" w:cs="仿宋_GB2312"/>
          <w:szCs w:val="21"/>
        </w:rPr>
        <w:t xml:space="preserve"> 法定代表人或授权人：</w:t>
      </w:r>
    </w:p>
    <w:p w14:paraId="2839CC21">
      <w:pPr>
        <w:spacing w:line="360" w:lineRule="auto"/>
        <w:ind w:firstLine="420" w:firstLineChars="200"/>
        <w:rPr>
          <w:rFonts w:hint="eastAsia" w:ascii="宋体" w:hAnsi="宋体" w:cs="仿宋_GB2312"/>
          <w:szCs w:val="21"/>
        </w:rPr>
      </w:pPr>
    </w:p>
    <w:p w14:paraId="028FF400">
      <w:pPr>
        <w:spacing w:line="360" w:lineRule="auto"/>
        <w:ind w:firstLine="420" w:firstLineChars="200"/>
        <w:rPr>
          <w:rFonts w:hint="eastAsia" w:ascii="宋体" w:hAnsi="宋体" w:cs="仿宋_GB2312"/>
          <w:szCs w:val="21"/>
        </w:rPr>
      </w:pPr>
      <w:r>
        <w:rPr>
          <w:rFonts w:hint="eastAsia" w:ascii="宋体" w:hAnsi="宋体" w:cs="仿宋_GB2312"/>
          <w:szCs w:val="21"/>
        </w:rPr>
        <w:t xml:space="preserve">签订日期：    年  月  日               </w:t>
      </w:r>
      <w:r>
        <w:rPr>
          <w:rFonts w:hint="eastAsia" w:ascii="宋体" w:hAnsi="宋体" w:cs="仿宋_GB2312"/>
          <w:szCs w:val="21"/>
          <w:lang w:val="en-US" w:eastAsia="zh-CN"/>
        </w:rPr>
        <w:t xml:space="preserve">  </w:t>
      </w:r>
      <w:r>
        <w:rPr>
          <w:rFonts w:hint="eastAsia" w:ascii="宋体" w:hAnsi="宋体" w:cs="仿宋_GB2312"/>
          <w:szCs w:val="21"/>
        </w:rPr>
        <w:t xml:space="preserve">    签订日期：    年  月  日</w:t>
      </w:r>
    </w:p>
    <w:p w14:paraId="6879AA0C">
      <w:pPr>
        <w:rPr>
          <w:rFonts w:hint="eastAsia" w:ascii="宋体" w:hAnsi="宋体" w:cs="仿宋_GB2312"/>
          <w:szCs w:val="21"/>
        </w:rPr>
      </w:pPr>
      <w:r>
        <w:rPr>
          <w:rFonts w:hint="eastAsia" w:ascii="宋体" w:hAnsi="宋体" w:cs="仿宋_GB2312"/>
          <w:szCs w:val="21"/>
        </w:rPr>
        <w:br w:type="page"/>
      </w:r>
    </w:p>
    <w:p w14:paraId="16E05AB6">
      <w:pPr>
        <w:keepNext w:val="0"/>
        <w:keepLines w:val="0"/>
        <w:pageBreakBefore w:val="0"/>
        <w:kinsoku/>
        <w:wordWrap/>
        <w:overflowPunct/>
        <w:topLinePunct w:val="0"/>
        <w:autoSpaceDE/>
        <w:autoSpaceDN/>
        <w:bidi w:val="0"/>
        <w:spacing w:line="360" w:lineRule="auto"/>
        <w:textAlignment w:val="auto"/>
        <w:rPr>
          <w:rFonts w:ascii="宋体"/>
          <w:b/>
          <w:bCs/>
          <w:color w:val="FF0000"/>
          <w:sz w:val="21"/>
          <w:szCs w:val="21"/>
        </w:rPr>
      </w:pPr>
      <w:bookmarkStart w:id="54" w:name="_Toc73465446"/>
      <w:r>
        <w:rPr>
          <w:rFonts w:hint="eastAsia" w:ascii="宋体"/>
          <w:b/>
          <w:bCs/>
          <w:sz w:val="21"/>
          <w:szCs w:val="21"/>
        </w:rPr>
        <w:t>附件一</w:t>
      </w:r>
      <w:bookmarkStart w:id="55" w:name="OLE_LINK6"/>
      <w:r>
        <w:rPr>
          <w:rFonts w:hint="eastAsia" w:ascii="宋体"/>
          <w:b/>
          <w:bCs/>
          <w:sz w:val="21"/>
          <w:szCs w:val="21"/>
        </w:rPr>
        <w:t>：餐饮管理服务费明细</w:t>
      </w:r>
      <w:bookmarkEnd w:id="54"/>
    </w:p>
    <w:bookmarkEnd w:id="55"/>
    <w:p w14:paraId="12226D6F">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sz w:val="21"/>
          <w:szCs w:val="21"/>
        </w:rPr>
      </w:pPr>
    </w:p>
    <w:tbl>
      <w:tblPr>
        <w:tblStyle w:val="26"/>
        <w:tblW w:w="5000" w:type="pct"/>
        <w:tblInd w:w="0" w:type="dxa"/>
        <w:tblLayout w:type="autofit"/>
        <w:tblCellMar>
          <w:top w:w="0" w:type="dxa"/>
          <w:left w:w="108" w:type="dxa"/>
          <w:bottom w:w="0" w:type="dxa"/>
          <w:right w:w="108" w:type="dxa"/>
        </w:tblCellMar>
      </w:tblPr>
      <w:tblGrid>
        <w:gridCol w:w="687"/>
        <w:gridCol w:w="908"/>
        <w:gridCol w:w="1604"/>
        <w:gridCol w:w="873"/>
        <w:gridCol w:w="1457"/>
        <w:gridCol w:w="1582"/>
        <w:gridCol w:w="1411"/>
      </w:tblGrid>
      <w:tr w14:paraId="1953225C">
        <w:tblPrEx>
          <w:tblCellMar>
            <w:top w:w="0" w:type="dxa"/>
            <w:left w:w="108" w:type="dxa"/>
            <w:bottom w:w="0" w:type="dxa"/>
            <w:right w:w="108" w:type="dxa"/>
          </w:tblCellMar>
        </w:tblPrEx>
        <w:trPr>
          <w:trHeight w:val="285" w:hRule="atLeast"/>
        </w:trPr>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746F4428">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533" w:type="pct"/>
            <w:tcBorders>
              <w:top w:val="single" w:color="auto" w:sz="4" w:space="0"/>
              <w:left w:val="nil"/>
              <w:bottom w:val="single" w:color="auto" w:sz="4" w:space="0"/>
              <w:right w:val="single" w:color="auto" w:sz="4" w:space="0"/>
            </w:tcBorders>
            <w:shd w:val="clear" w:color="auto" w:fill="auto"/>
            <w:vAlign w:val="center"/>
          </w:tcPr>
          <w:p w14:paraId="7C5F8EA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类别</w:t>
            </w:r>
          </w:p>
        </w:tc>
        <w:tc>
          <w:tcPr>
            <w:tcW w:w="941" w:type="pct"/>
            <w:tcBorders>
              <w:top w:val="single" w:color="auto" w:sz="4" w:space="0"/>
              <w:left w:val="nil"/>
              <w:bottom w:val="single" w:color="auto" w:sz="4" w:space="0"/>
              <w:right w:val="single" w:color="auto" w:sz="4" w:space="0"/>
            </w:tcBorders>
            <w:shd w:val="clear" w:color="auto" w:fill="auto"/>
            <w:vAlign w:val="center"/>
          </w:tcPr>
          <w:p w14:paraId="795772A5">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名称</w:t>
            </w:r>
          </w:p>
        </w:tc>
        <w:tc>
          <w:tcPr>
            <w:tcW w:w="512" w:type="pct"/>
            <w:tcBorders>
              <w:top w:val="single" w:color="auto" w:sz="4" w:space="0"/>
              <w:left w:val="nil"/>
              <w:bottom w:val="single" w:color="auto" w:sz="4" w:space="0"/>
              <w:right w:val="single" w:color="auto" w:sz="4" w:space="0"/>
            </w:tcBorders>
            <w:shd w:val="clear" w:color="auto" w:fill="auto"/>
            <w:vAlign w:val="center"/>
          </w:tcPr>
          <w:p w14:paraId="4D2A837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数量</w:t>
            </w:r>
          </w:p>
        </w:tc>
        <w:tc>
          <w:tcPr>
            <w:tcW w:w="855" w:type="pct"/>
            <w:tcBorders>
              <w:top w:val="single" w:color="auto" w:sz="4" w:space="0"/>
              <w:left w:val="nil"/>
              <w:bottom w:val="single" w:color="auto" w:sz="4" w:space="0"/>
              <w:right w:val="single" w:color="auto" w:sz="4" w:space="0"/>
            </w:tcBorders>
            <w:shd w:val="clear" w:color="auto" w:fill="auto"/>
            <w:vAlign w:val="center"/>
          </w:tcPr>
          <w:p w14:paraId="410644A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单价（万元）</w:t>
            </w:r>
          </w:p>
        </w:tc>
        <w:tc>
          <w:tcPr>
            <w:tcW w:w="928" w:type="pct"/>
            <w:tcBorders>
              <w:top w:val="single" w:color="auto" w:sz="4" w:space="0"/>
              <w:left w:val="nil"/>
              <w:bottom w:val="single" w:color="auto" w:sz="4" w:space="0"/>
              <w:right w:val="single" w:color="auto" w:sz="4" w:space="0"/>
            </w:tcBorders>
            <w:shd w:val="clear" w:color="auto" w:fill="auto"/>
            <w:vAlign w:val="center"/>
          </w:tcPr>
          <w:p w14:paraId="7A1651B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总价（万元）</w:t>
            </w:r>
          </w:p>
        </w:tc>
        <w:tc>
          <w:tcPr>
            <w:tcW w:w="828" w:type="pct"/>
            <w:tcBorders>
              <w:top w:val="single" w:color="auto" w:sz="4" w:space="0"/>
              <w:left w:val="nil"/>
              <w:bottom w:val="single" w:color="auto" w:sz="4" w:space="0"/>
              <w:right w:val="single" w:color="auto" w:sz="4" w:space="0"/>
            </w:tcBorders>
            <w:shd w:val="clear" w:color="auto" w:fill="auto"/>
            <w:vAlign w:val="center"/>
          </w:tcPr>
          <w:p w14:paraId="706D38B2">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14:paraId="4DF46002">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7B675F66">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w:t>
            </w:r>
          </w:p>
        </w:tc>
        <w:tc>
          <w:tcPr>
            <w:tcW w:w="533" w:type="pct"/>
            <w:tcBorders>
              <w:top w:val="nil"/>
              <w:left w:val="nil"/>
              <w:bottom w:val="single" w:color="auto" w:sz="4" w:space="0"/>
              <w:right w:val="single" w:color="auto" w:sz="4" w:space="0"/>
            </w:tcBorders>
            <w:shd w:val="clear" w:color="auto" w:fill="auto"/>
            <w:vAlign w:val="center"/>
          </w:tcPr>
          <w:p w14:paraId="5ED8B92A">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062C75BA">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512" w:type="pct"/>
            <w:tcBorders>
              <w:top w:val="nil"/>
              <w:left w:val="nil"/>
              <w:bottom w:val="single" w:color="auto" w:sz="4" w:space="0"/>
              <w:right w:val="single" w:color="auto" w:sz="4" w:space="0"/>
            </w:tcBorders>
            <w:shd w:val="clear" w:color="auto" w:fill="auto"/>
            <w:vAlign w:val="center"/>
          </w:tcPr>
          <w:p w14:paraId="1ACC49E7">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61F13C94">
            <w:pPr>
              <w:keepNext w:val="0"/>
              <w:keepLines w:val="0"/>
              <w:pageBreakBefore w:val="0"/>
              <w:widowControl/>
              <w:kinsoku/>
              <w:wordWrap/>
              <w:overflowPunct/>
              <w:topLinePunct w:val="0"/>
              <w:autoSpaceDE/>
              <w:autoSpaceDN/>
              <w:bidi w:val="0"/>
              <w:spacing w:line="360" w:lineRule="auto"/>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76231E9F">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338DF356">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43B26851">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1F1E2494">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w:t>
            </w:r>
          </w:p>
        </w:tc>
        <w:tc>
          <w:tcPr>
            <w:tcW w:w="533" w:type="pct"/>
            <w:tcBorders>
              <w:top w:val="nil"/>
              <w:left w:val="nil"/>
              <w:bottom w:val="single" w:color="auto" w:sz="4" w:space="0"/>
              <w:right w:val="single" w:color="auto" w:sz="4" w:space="0"/>
            </w:tcBorders>
            <w:shd w:val="clear" w:color="auto" w:fill="auto"/>
            <w:vAlign w:val="center"/>
          </w:tcPr>
          <w:p w14:paraId="73ECF017">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79417D9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厨师长</w:t>
            </w:r>
          </w:p>
        </w:tc>
        <w:tc>
          <w:tcPr>
            <w:tcW w:w="512" w:type="pct"/>
            <w:tcBorders>
              <w:top w:val="nil"/>
              <w:left w:val="nil"/>
              <w:bottom w:val="single" w:color="auto" w:sz="4" w:space="0"/>
              <w:right w:val="single" w:color="auto" w:sz="4" w:space="0"/>
            </w:tcBorders>
            <w:shd w:val="clear" w:color="auto" w:fill="auto"/>
            <w:vAlign w:val="center"/>
          </w:tcPr>
          <w:p w14:paraId="4C7159C1">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670D00DD">
            <w:pPr>
              <w:keepNext w:val="0"/>
              <w:keepLines w:val="0"/>
              <w:pageBreakBefore w:val="0"/>
              <w:widowControl/>
              <w:kinsoku/>
              <w:wordWrap/>
              <w:overflowPunct/>
              <w:topLinePunct w:val="0"/>
              <w:autoSpaceDE/>
              <w:autoSpaceDN/>
              <w:bidi w:val="0"/>
              <w:spacing w:line="360" w:lineRule="auto"/>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2866CCD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38B2C96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4C1C312E">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4F0BC0DF">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533" w:type="pct"/>
            <w:tcBorders>
              <w:top w:val="nil"/>
              <w:left w:val="nil"/>
              <w:bottom w:val="single" w:color="auto" w:sz="4" w:space="0"/>
              <w:right w:val="single" w:color="auto" w:sz="4" w:space="0"/>
            </w:tcBorders>
            <w:shd w:val="clear" w:color="auto" w:fill="auto"/>
            <w:vAlign w:val="center"/>
          </w:tcPr>
          <w:p w14:paraId="55EDAEB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494B0ED4">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热菜厨师</w:t>
            </w:r>
          </w:p>
        </w:tc>
        <w:tc>
          <w:tcPr>
            <w:tcW w:w="512" w:type="pct"/>
            <w:tcBorders>
              <w:top w:val="nil"/>
              <w:left w:val="nil"/>
              <w:bottom w:val="single" w:color="auto" w:sz="4" w:space="0"/>
              <w:right w:val="single" w:color="auto" w:sz="4" w:space="0"/>
            </w:tcBorders>
            <w:shd w:val="clear" w:color="auto" w:fill="auto"/>
            <w:vAlign w:val="center"/>
          </w:tcPr>
          <w:p w14:paraId="1EA9283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7F895A8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24CD47A1">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2F6B89B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0706E927">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0C1479D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533" w:type="pct"/>
            <w:tcBorders>
              <w:top w:val="nil"/>
              <w:left w:val="nil"/>
              <w:bottom w:val="single" w:color="auto" w:sz="4" w:space="0"/>
              <w:right w:val="single" w:color="auto" w:sz="4" w:space="0"/>
            </w:tcBorders>
            <w:shd w:val="clear" w:color="auto" w:fill="auto"/>
            <w:vAlign w:val="center"/>
          </w:tcPr>
          <w:p w14:paraId="06DD5BFB">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6D2A2DD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面点师</w:t>
            </w:r>
          </w:p>
        </w:tc>
        <w:tc>
          <w:tcPr>
            <w:tcW w:w="512" w:type="pct"/>
            <w:tcBorders>
              <w:top w:val="nil"/>
              <w:left w:val="nil"/>
              <w:bottom w:val="single" w:color="auto" w:sz="4" w:space="0"/>
              <w:right w:val="single" w:color="auto" w:sz="4" w:space="0"/>
            </w:tcBorders>
            <w:shd w:val="clear" w:color="auto" w:fill="auto"/>
            <w:vAlign w:val="center"/>
          </w:tcPr>
          <w:p w14:paraId="7098D57F">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2683FFB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10566D5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726A7B1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0C8A5188">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44EFC64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w:t>
            </w:r>
          </w:p>
        </w:tc>
        <w:tc>
          <w:tcPr>
            <w:tcW w:w="533" w:type="pct"/>
            <w:tcBorders>
              <w:top w:val="nil"/>
              <w:left w:val="nil"/>
              <w:bottom w:val="single" w:color="auto" w:sz="4" w:space="0"/>
              <w:right w:val="single" w:color="auto" w:sz="4" w:space="0"/>
            </w:tcBorders>
            <w:shd w:val="clear" w:color="auto" w:fill="auto"/>
            <w:vAlign w:val="center"/>
          </w:tcPr>
          <w:p w14:paraId="702C1D78">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39019547">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冷荤主管</w:t>
            </w:r>
          </w:p>
        </w:tc>
        <w:tc>
          <w:tcPr>
            <w:tcW w:w="512" w:type="pct"/>
            <w:tcBorders>
              <w:top w:val="nil"/>
              <w:left w:val="nil"/>
              <w:bottom w:val="single" w:color="auto" w:sz="4" w:space="0"/>
              <w:right w:val="single" w:color="auto" w:sz="4" w:space="0"/>
            </w:tcBorders>
            <w:shd w:val="clear" w:color="auto" w:fill="auto"/>
            <w:vAlign w:val="center"/>
          </w:tcPr>
          <w:p w14:paraId="1714E3AC">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5130B42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3C38B01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5CC4A9C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364D982B">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2417FA4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w:t>
            </w:r>
          </w:p>
        </w:tc>
        <w:tc>
          <w:tcPr>
            <w:tcW w:w="533" w:type="pct"/>
            <w:tcBorders>
              <w:top w:val="nil"/>
              <w:left w:val="nil"/>
              <w:bottom w:val="single" w:color="auto" w:sz="4" w:space="0"/>
              <w:right w:val="single" w:color="auto" w:sz="4" w:space="0"/>
            </w:tcBorders>
            <w:shd w:val="clear" w:color="auto" w:fill="auto"/>
            <w:vAlign w:val="center"/>
          </w:tcPr>
          <w:p w14:paraId="7275039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654DF96A">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切配</w:t>
            </w:r>
          </w:p>
        </w:tc>
        <w:tc>
          <w:tcPr>
            <w:tcW w:w="512" w:type="pct"/>
            <w:tcBorders>
              <w:top w:val="nil"/>
              <w:left w:val="nil"/>
              <w:bottom w:val="single" w:color="auto" w:sz="4" w:space="0"/>
              <w:right w:val="single" w:color="auto" w:sz="4" w:space="0"/>
            </w:tcBorders>
            <w:shd w:val="clear" w:color="auto" w:fill="auto"/>
            <w:vAlign w:val="center"/>
          </w:tcPr>
          <w:p w14:paraId="02F7CB02">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2EFEE12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4D5C09E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3F84BE0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45D987B8">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3FC33877">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7</w:t>
            </w:r>
          </w:p>
        </w:tc>
        <w:tc>
          <w:tcPr>
            <w:tcW w:w="533" w:type="pct"/>
            <w:tcBorders>
              <w:top w:val="nil"/>
              <w:left w:val="nil"/>
              <w:bottom w:val="single" w:color="auto" w:sz="4" w:space="0"/>
              <w:right w:val="single" w:color="auto" w:sz="4" w:space="0"/>
            </w:tcBorders>
            <w:shd w:val="clear" w:color="auto" w:fill="auto"/>
            <w:vAlign w:val="center"/>
          </w:tcPr>
          <w:p w14:paraId="16C09E9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0A69CB7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风味厨师</w:t>
            </w:r>
          </w:p>
        </w:tc>
        <w:tc>
          <w:tcPr>
            <w:tcW w:w="512" w:type="pct"/>
            <w:tcBorders>
              <w:top w:val="nil"/>
              <w:left w:val="nil"/>
              <w:bottom w:val="single" w:color="auto" w:sz="4" w:space="0"/>
              <w:right w:val="single" w:color="auto" w:sz="4" w:space="0"/>
            </w:tcBorders>
            <w:shd w:val="clear" w:color="auto" w:fill="auto"/>
            <w:vAlign w:val="center"/>
          </w:tcPr>
          <w:p w14:paraId="00972F4C">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1CBCED5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72C089A2">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7CBAEC8C">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0B507670">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169E963E">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8</w:t>
            </w:r>
          </w:p>
        </w:tc>
        <w:tc>
          <w:tcPr>
            <w:tcW w:w="533" w:type="pct"/>
            <w:tcBorders>
              <w:top w:val="nil"/>
              <w:left w:val="nil"/>
              <w:bottom w:val="single" w:color="auto" w:sz="4" w:space="0"/>
              <w:right w:val="single" w:color="auto" w:sz="4" w:space="0"/>
            </w:tcBorders>
            <w:shd w:val="clear" w:color="auto" w:fill="auto"/>
            <w:vAlign w:val="center"/>
          </w:tcPr>
          <w:p w14:paraId="666FB2BF">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04ACCF0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财务兼服务员</w:t>
            </w:r>
          </w:p>
        </w:tc>
        <w:tc>
          <w:tcPr>
            <w:tcW w:w="512" w:type="pct"/>
            <w:tcBorders>
              <w:top w:val="nil"/>
              <w:left w:val="nil"/>
              <w:bottom w:val="single" w:color="auto" w:sz="4" w:space="0"/>
              <w:right w:val="single" w:color="auto" w:sz="4" w:space="0"/>
            </w:tcBorders>
            <w:shd w:val="clear" w:color="auto" w:fill="auto"/>
            <w:vAlign w:val="center"/>
          </w:tcPr>
          <w:p w14:paraId="6145DC92">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595B0628">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59382EF4">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38E8EA77">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7EA64C59">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4F010D99">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9</w:t>
            </w:r>
          </w:p>
        </w:tc>
        <w:tc>
          <w:tcPr>
            <w:tcW w:w="533" w:type="pct"/>
            <w:tcBorders>
              <w:top w:val="nil"/>
              <w:left w:val="nil"/>
              <w:bottom w:val="single" w:color="auto" w:sz="4" w:space="0"/>
              <w:right w:val="single" w:color="auto" w:sz="4" w:space="0"/>
            </w:tcBorders>
            <w:shd w:val="clear" w:color="auto" w:fill="auto"/>
            <w:vAlign w:val="center"/>
          </w:tcPr>
          <w:p w14:paraId="19317524">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2BA388F6">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服务员</w:t>
            </w:r>
          </w:p>
        </w:tc>
        <w:tc>
          <w:tcPr>
            <w:tcW w:w="512" w:type="pct"/>
            <w:tcBorders>
              <w:top w:val="nil"/>
              <w:left w:val="nil"/>
              <w:bottom w:val="single" w:color="auto" w:sz="4" w:space="0"/>
              <w:right w:val="single" w:color="auto" w:sz="4" w:space="0"/>
            </w:tcBorders>
            <w:shd w:val="clear" w:color="auto" w:fill="auto"/>
            <w:vAlign w:val="center"/>
          </w:tcPr>
          <w:p w14:paraId="02AD5423">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0F06133F">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474FC55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52A6801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6C7C9CA6">
        <w:tblPrEx>
          <w:tblCellMar>
            <w:top w:w="0" w:type="dxa"/>
            <w:left w:w="108" w:type="dxa"/>
            <w:bottom w:w="0" w:type="dxa"/>
            <w:right w:w="108" w:type="dxa"/>
          </w:tblCellMar>
        </w:tblPrEx>
        <w:trPr>
          <w:trHeight w:val="285" w:hRule="atLeast"/>
        </w:trPr>
        <w:tc>
          <w:tcPr>
            <w:tcW w:w="403" w:type="pct"/>
            <w:tcBorders>
              <w:top w:val="nil"/>
              <w:left w:val="single" w:color="auto" w:sz="4" w:space="0"/>
              <w:bottom w:val="single" w:color="auto" w:sz="4" w:space="0"/>
              <w:right w:val="single" w:color="auto" w:sz="4" w:space="0"/>
            </w:tcBorders>
            <w:shd w:val="clear" w:color="auto" w:fill="auto"/>
            <w:vAlign w:val="center"/>
          </w:tcPr>
          <w:p w14:paraId="5978FC5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10</w:t>
            </w:r>
          </w:p>
        </w:tc>
        <w:tc>
          <w:tcPr>
            <w:tcW w:w="533" w:type="pct"/>
            <w:tcBorders>
              <w:top w:val="nil"/>
              <w:left w:val="nil"/>
              <w:bottom w:val="single" w:color="auto" w:sz="4" w:space="0"/>
              <w:right w:val="single" w:color="auto" w:sz="4" w:space="0"/>
            </w:tcBorders>
            <w:shd w:val="clear" w:color="auto" w:fill="auto"/>
            <w:vAlign w:val="center"/>
          </w:tcPr>
          <w:p w14:paraId="588004A8">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岗位</w:t>
            </w:r>
          </w:p>
        </w:tc>
        <w:tc>
          <w:tcPr>
            <w:tcW w:w="941" w:type="pct"/>
            <w:tcBorders>
              <w:top w:val="nil"/>
              <w:left w:val="nil"/>
              <w:bottom w:val="single" w:color="auto" w:sz="4" w:space="0"/>
              <w:right w:val="single" w:color="auto" w:sz="4" w:space="0"/>
            </w:tcBorders>
            <w:shd w:val="clear" w:color="auto" w:fill="auto"/>
            <w:vAlign w:val="center"/>
          </w:tcPr>
          <w:p w14:paraId="51D57EEA">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洗消、保洁</w:t>
            </w:r>
          </w:p>
        </w:tc>
        <w:tc>
          <w:tcPr>
            <w:tcW w:w="512" w:type="pct"/>
            <w:tcBorders>
              <w:top w:val="nil"/>
              <w:left w:val="nil"/>
              <w:bottom w:val="single" w:color="auto" w:sz="4" w:space="0"/>
              <w:right w:val="single" w:color="auto" w:sz="4" w:space="0"/>
            </w:tcBorders>
            <w:shd w:val="clear" w:color="auto" w:fill="auto"/>
            <w:vAlign w:val="center"/>
          </w:tcPr>
          <w:p w14:paraId="0B26CB20">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55" w:type="pct"/>
            <w:tcBorders>
              <w:top w:val="nil"/>
              <w:left w:val="nil"/>
              <w:bottom w:val="single" w:color="auto" w:sz="4" w:space="0"/>
              <w:right w:val="single" w:color="auto" w:sz="4" w:space="0"/>
            </w:tcBorders>
            <w:shd w:val="clear" w:color="auto" w:fill="auto"/>
            <w:vAlign w:val="center"/>
          </w:tcPr>
          <w:p w14:paraId="36D19076">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928" w:type="pct"/>
            <w:tcBorders>
              <w:top w:val="nil"/>
              <w:left w:val="nil"/>
              <w:bottom w:val="single" w:color="auto" w:sz="4" w:space="0"/>
              <w:right w:val="single" w:color="auto" w:sz="4" w:space="0"/>
            </w:tcBorders>
            <w:shd w:val="clear" w:color="auto" w:fill="auto"/>
            <w:vAlign w:val="center"/>
          </w:tcPr>
          <w:p w14:paraId="27AFBC2D">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p>
        </w:tc>
        <w:tc>
          <w:tcPr>
            <w:tcW w:w="828" w:type="pct"/>
            <w:tcBorders>
              <w:top w:val="nil"/>
              <w:left w:val="nil"/>
              <w:bottom w:val="single" w:color="auto" w:sz="4" w:space="0"/>
              <w:right w:val="single" w:color="auto" w:sz="4" w:space="0"/>
            </w:tcBorders>
            <w:shd w:val="clear" w:color="auto" w:fill="auto"/>
            <w:vAlign w:val="center"/>
          </w:tcPr>
          <w:p w14:paraId="2E5BA7C5">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详见明细表</w:t>
            </w:r>
          </w:p>
        </w:tc>
      </w:tr>
      <w:tr w14:paraId="1C67F651">
        <w:tblPrEx>
          <w:tblCellMar>
            <w:top w:w="0" w:type="dxa"/>
            <w:left w:w="108" w:type="dxa"/>
            <w:bottom w:w="0" w:type="dxa"/>
            <w:right w:w="108" w:type="dxa"/>
          </w:tblCellMar>
        </w:tblPrEx>
        <w:trPr>
          <w:trHeight w:val="285" w:hRule="atLeast"/>
        </w:trPr>
        <w:tc>
          <w:tcPr>
            <w:tcW w:w="187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90FC92">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总计（万元）</w:t>
            </w:r>
          </w:p>
        </w:tc>
        <w:tc>
          <w:tcPr>
            <w:tcW w:w="512" w:type="pct"/>
            <w:tcBorders>
              <w:top w:val="nil"/>
              <w:left w:val="nil"/>
              <w:bottom w:val="single" w:color="auto" w:sz="4" w:space="0"/>
              <w:right w:val="single" w:color="auto" w:sz="4" w:space="0"/>
            </w:tcBorders>
            <w:shd w:val="clear" w:color="auto" w:fill="auto"/>
            <w:vAlign w:val="center"/>
          </w:tcPr>
          <w:p w14:paraId="518EAD1B">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w:t>
            </w:r>
          </w:p>
        </w:tc>
        <w:tc>
          <w:tcPr>
            <w:tcW w:w="855" w:type="pct"/>
            <w:tcBorders>
              <w:top w:val="nil"/>
              <w:left w:val="nil"/>
              <w:bottom w:val="single" w:color="auto" w:sz="4" w:space="0"/>
              <w:right w:val="single" w:color="auto" w:sz="4" w:space="0"/>
            </w:tcBorders>
            <w:shd w:val="clear" w:color="auto" w:fill="auto"/>
            <w:vAlign w:val="center"/>
          </w:tcPr>
          <w:p w14:paraId="44D49DC8">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w:t>
            </w:r>
          </w:p>
        </w:tc>
        <w:tc>
          <w:tcPr>
            <w:tcW w:w="1756" w:type="pct"/>
            <w:gridSpan w:val="2"/>
            <w:tcBorders>
              <w:top w:val="single" w:color="auto" w:sz="4" w:space="0"/>
              <w:left w:val="nil"/>
              <w:bottom w:val="single" w:color="auto" w:sz="4" w:space="0"/>
              <w:right w:val="single" w:color="auto" w:sz="4" w:space="0"/>
            </w:tcBorders>
            <w:shd w:val="clear" w:color="auto" w:fill="auto"/>
            <w:vAlign w:val="center"/>
          </w:tcPr>
          <w:p w14:paraId="2AFE86C4">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xml:space="preserve"> </w:t>
            </w:r>
          </w:p>
        </w:tc>
      </w:tr>
    </w:tbl>
    <w:p w14:paraId="66A12E38">
      <w:pPr>
        <w:keepNext w:val="0"/>
        <w:keepLines w:val="0"/>
        <w:pageBreakBefore w:val="0"/>
        <w:tabs>
          <w:tab w:val="left" w:pos="897"/>
        </w:tabs>
        <w:kinsoku/>
        <w:wordWrap/>
        <w:overflowPunct/>
        <w:topLinePunct w:val="0"/>
        <w:autoSpaceDE/>
        <w:autoSpaceDN/>
        <w:bidi w:val="0"/>
        <w:adjustRightInd w:val="0"/>
        <w:snapToGrid w:val="0"/>
        <w:spacing w:line="360" w:lineRule="auto"/>
        <w:textAlignment w:val="auto"/>
        <w:rPr>
          <w:rFonts w:ascii="宋体" w:hAnsi="宋体"/>
          <w:sz w:val="21"/>
          <w:szCs w:val="21"/>
        </w:rPr>
        <w:sectPr>
          <w:footerReference r:id="rId6" w:type="default"/>
          <w:pgSz w:w="11906" w:h="16838"/>
          <w:pgMar w:top="1440" w:right="1800" w:bottom="1440" w:left="1800" w:header="851" w:footer="992" w:gutter="0"/>
          <w:cols w:space="425" w:num="1"/>
          <w:docGrid w:type="lines" w:linePitch="312" w:charSpace="0"/>
        </w:sectPr>
      </w:pPr>
      <w:r>
        <w:rPr>
          <w:rFonts w:ascii="宋体" w:hAnsi="宋体"/>
          <w:sz w:val="21"/>
          <w:szCs w:val="21"/>
        </w:rPr>
        <w:tab/>
      </w:r>
    </w:p>
    <w:p w14:paraId="0F39D85F">
      <w:pPr>
        <w:keepNext w:val="0"/>
        <w:keepLines w:val="0"/>
        <w:pageBreakBefore w:val="0"/>
        <w:kinsoku/>
        <w:wordWrap/>
        <w:overflowPunct/>
        <w:topLinePunct w:val="0"/>
        <w:autoSpaceDE/>
        <w:autoSpaceDN/>
        <w:bidi w:val="0"/>
        <w:spacing w:line="360" w:lineRule="auto"/>
        <w:textAlignment w:val="auto"/>
        <w:rPr>
          <w:rFonts w:ascii="宋体"/>
          <w:b/>
          <w:bCs/>
          <w:sz w:val="21"/>
          <w:szCs w:val="21"/>
        </w:rPr>
      </w:pPr>
      <w:bookmarkStart w:id="56" w:name="OLE_LINK7"/>
      <w:bookmarkStart w:id="57" w:name="_Toc73465447"/>
      <w:bookmarkStart w:id="58" w:name="OLE_LINK8"/>
      <w:r>
        <w:rPr>
          <w:rFonts w:hint="eastAsia" w:ascii="宋体"/>
          <w:b/>
          <w:bCs/>
          <w:sz w:val="21"/>
          <w:szCs w:val="21"/>
        </w:rPr>
        <w:t>附件二：餐饮服务管理技术要求</w:t>
      </w:r>
      <w:bookmarkEnd w:id="56"/>
      <w:bookmarkEnd w:id="57"/>
      <w:bookmarkEnd w:id="58"/>
    </w:p>
    <w:p w14:paraId="55C0ACD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p>
    <w:p w14:paraId="203E4DE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1.</w:t>
      </w:r>
      <w:r>
        <w:rPr>
          <w:rFonts w:ascii="宋体" w:hAnsi="宋体"/>
          <w:b/>
          <w:bCs/>
          <w:sz w:val="21"/>
          <w:szCs w:val="21"/>
        </w:rPr>
        <w:tab/>
      </w:r>
      <w:r>
        <w:rPr>
          <w:rFonts w:hint="eastAsia" w:ascii="宋体" w:hAnsi="宋体"/>
          <w:b/>
          <w:bCs/>
          <w:sz w:val="21"/>
          <w:szCs w:val="21"/>
        </w:rPr>
        <w:t>服务要求</w:t>
      </w:r>
    </w:p>
    <w:p w14:paraId="5CA09C0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1</w:t>
      </w:r>
      <w:r>
        <w:rPr>
          <w:rFonts w:ascii="宋体" w:hAnsi="宋体"/>
          <w:sz w:val="21"/>
          <w:szCs w:val="21"/>
        </w:rPr>
        <w:tab/>
      </w:r>
      <w:r>
        <w:rPr>
          <w:rFonts w:hint="eastAsia" w:ascii="宋体" w:hAnsi="宋体"/>
          <w:sz w:val="21"/>
          <w:szCs w:val="21"/>
        </w:rPr>
        <w:t>严格按标准供餐，每日公布菜谱和外卖品种。</w:t>
      </w:r>
    </w:p>
    <w:p w14:paraId="4B3D90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2</w:t>
      </w:r>
      <w:r>
        <w:rPr>
          <w:rFonts w:ascii="宋体" w:hAnsi="宋体"/>
          <w:sz w:val="21"/>
          <w:szCs w:val="21"/>
        </w:rPr>
        <w:tab/>
      </w:r>
      <w:r>
        <w:rPr>
          <w:rFonts w:hint="eastAsia" w:ascii="宋体" w:hAnsi="宋体"/>
          <w:sz w:val="21"/>
          <w:szCs w:val="21"/>
        </w:rPr>
        <w:t>厨房各项卫生、食品和原料卫生、工作人员卫生和操作要求以及相关卫生要求必须符合现行有效的</w:t>
      </w:r>
      <w:r>
        <w:rPr>
          <w:rFonts w:ascii="宋体" w:hAnsi="宋体"/>
          <w:sz w:val="21"/>
          <w:szCs w:val="21"/>
        </w:rPr>
        <w:t>ISO14001</w:t>
      </w:r>
      <w:r>
        <w:rPr>
          <w:rFonts w:hint="eastAsia" w:ascii="宋体" w:hAnsi="宋体"/>
          <w:sz w:val="21"/>
          <w:szCs w:val="21"/>
        </w:rPr>
        <w:t>环境体系要求、食品安全管理体系要求、卫生防疫要求和《食品安全法》的规定。</w:t>
      </w:r>
    </w:p>
    <w:p w14:paraId="65C0ED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3</w:t>
      </w:r>
      <w:r>
        <w:rPr>
          <w:rFonts w:ascii="宋体" w:hAnsi="宋体"/>
          <w:sz w:val="21"/>
          <w:szCs w:val="21"/>
        </w:rPr>
        <w:tab/>
      </w:r>
      <w:r>
        <w:rPr>
          <w:rFonts w:hint="eastAsia" w:ascii="宋体" w:hAnsi="宋体"/>
          <w:sz w:val="21"/>
          <w:szCs w:val="21"/>
        </w:rPr>
        <w:t>乙方应严格执行食品检验制度，每日进行食品留样，并定期对餐具和菜品进行检测（每月不少于一次）。</w:t>
      </w:r>
    </w:p>
    <w:p w14:paraId="612E969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4</w:t>
      </w:r>
      <w:r>
        <w:rPr>
          <w:rFonts w:ascii="宋体" w:hAnsi="宋体"/>
          <w:sz w:val="21"/>
          <w:szCs w:val="21"/>
        </w:rPr>
        <w:tab/>
      </w:r>
      <w:r>
        <w:rPr>
          <w:rFonts w:hint="eastAsia" w:ascii="宋体" w:hAnsi="宋体"/>
          <w:sz w:val="21"/>
          <w:szCs w:val="21"/>
        </w:rPr>
        <w:t>每季度进行就餐满意率调查，甲方有权随时安排进行满意度调查并根据调查结果和日常检查情况对乙方做出考核决定。</w:t>
      </w:r>
    </w:p>
    <w:p w14:paraId="0BDF09B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5</w:t>
      </w:r>
      <w:r>
        <w:rPr>
          <w:rFonts w:ascii="宋体" w:hAnsi="宋体"/>
          <w:sz w:val="21"/>
          <w:szCs w:val="21"/>
        </w:rPr>
        <w:tab/>
      </w:r>
      <w:r>
        <w:rPr>
          <w:rFonts w:hint="eastAsia" w:ascii="宋体" w:hAnsi="宋体"/>
          <w:sz w:val="21"/>
          <w:szCs w:val="21"/>
        </w:rPr>
        <w:t>未经甲方书面同意，乙方不得擅自停止营业。</w:t>
      </w:r>
    </w:p>
    <w:p w14:paraId="21D2C479">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2.</w:t>
      </w:r>
      <w:r>
        <w:rPr>
          <w:rFonts w:ascii="宋体" w:hAnsi="宋体"/>
          <w:b/>
          <w:bCs/>
          <w:sz w:val="21"/>
          <w:szCs w:val="21"/>
        </w:rPr>
        <w:tab/>
      </w:r>
      <w:r>
        <w:rPr>
          <w:rFonts w:hint="eastAsia" w:ascii="宋体" w:hAnsi="宋体"/>
          <w:b/>
          <w:bCs/>
          <w:sz w:val="21"/>
          <w:szCs w:val="21"/>
        </w:rPr>
        <w:t>食品质量要求</w:t>
      </w:r>
    </w:p>
    <w:p w14:paraId="0DD4829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1</w:t>
      </w:r>
      <w:r>
        <w:rPr>
          <w:rFonts w:ascii="宋体" w:hAnsi="宋体"/>
          <w:sz w:val="21"/>
          <w:szCs w:val="21"/>
        </w:rPr>
        <w:tab/>
      </w:r>
      <w:r>
        <w:rPr>
          <w:rFonts w:hint="eastAsia" w:ascii="宋体" w:hAnsi="宋体"/>
          <w:sz w:val="21"/>
          <w:szCs w:val="21"/>
        </w:rPr>
        <w:t>冷菜酱制食品不含过多汤汁；</w:t>
      </w:r>
    </w:p>
    <w:p w14:paraId="129A214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2</w:t>
      </w:r>
      <w:r>
        <w:rPr>
          <w:rFonts w:ascii="宋体" w:hAnsi="宋体"/>
          <w:sz w:val="21"/>
          <w:szCs w:val="21"/>
        </w:rPr>
        <w:tab/>
      </w:r>
      <w:r>
        <w:rPr>
          <w:rFonts w:hint="eastAsia" w:ascii="宋体" w:hAnsi="宋体"/>
          <w:sz w:val="21"/>
          <w:szCs w:val="21"/>
        </w:rPr>
        <w:t>冷菜切配的食品刀口细腻及均匀并搭配合理；</w:t>
      </w:r>
    </w:p>
    <w:p w14:paraId="3488F51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3</w:t>
      </w:r>
      <w:r>
        <w:rPr>
          <w:rFonts w:ascii="宋体" w:hAnsi="宋体"/>
          <w:sz w:val="21"/>
          <w:szCs w:val="21"/>
        </w:rPr>
        <w:tab/>
      </w:r>
      <w:r>
        <w:rPr>
          <w:rFonts w:hint="eastAsia" w:ascii="宋体" w:hAnsi="宋体"/>
          <w:sz w:val="21"/>
          <w:szCs w:val="21"/>
        </w:rPr>
        <w:t>冷菜凉拌食品汤汁适度并即时拌制；</w:t>
      </w:r>
    </w:p>
    <w:p w14:paraId="4290393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4</w:t>
      </w:r>
      <w:r>
        <w:rPr>
          <w:rFonts w:ascii="宋体" w:hAnsi="宋体"/>
          <w:sz w:val="21"/>
          <w:szCs w:val="21"/>
        </w:rPr>
        <w:tab/>
      </w:r>
      <w:r>
        <w:rPr>
          <w:rFonts w:hint="eastAsia" w:ascii="宋体" w:hAnsi="宋体"/>
          <w:sz w:val="21"/>
          <w:szCs w:val="21"/>
        </w:rPr>
        <w:t>熟食制品完整不碎及不松散；</w:t>
      </w:r>
    </w:p>
    <w:p w14:paraId="031FC7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5</w:t>
      </w:r>
      <w:r>
        <w:rPr>
          <w:rFonts w:ascii="宋体" w:hAnsi="宋体"/>
          <w:sz w:val="21"/>
          <w:szCs w:val="21"/>
        </w:rPr>
        <w:tab/>
      </w:r>
      <w:r>
        <w:rPr>
          <w:rFonts w:hint="eastAsia" w:ascii="宋体" w:hAnsi="宋体"/>
          <w:sz w:val="21"/>
          <w:szCs w:val="21"/>
        </w:rPr>
        <w:t>热菜供餐时保持热度；</w:t>
      </w:r>
    </w:p>
    <w:p w14:paraId="2EBC75A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6</w:t>
      </w:r>
      <w:r>
        <w:rPr>
          <w:rFonts w:ascii="宋体" w:hAnsi="宋体"/>
          <w:sz w:val="21"/>
          <w:szCs w:val="21"/>
        </w:rPr>
        <w:tab/>
      </w:r>
      <w:r>
        <w:rPr>
          <w:rFonts w:hint="eastAsia" w:ascii="宋体" w:hAnsi="宋体"/>
          <w:sz w:val="21"/>
          <w:szCs w:val="21"/>
        </w:rPr>
        <w:t>热菜食品表面无风干及水浸现象；</w:t>
      </w:r>
    </w:p>
    <w:p w14:paraId="124E0DB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7</w:t>
      </w:r>
      <w:r>
        <w:rPr>
          <w:rFonts w:ascii="宋体" w:hAnsi="宋体"/>
          <w:sz w:val="21"/>
          <w:szCs w:val="21"/>
        </w:rPr>
        <w:tab/>
      </w:r>
      <w:r>
        <w:rPr>
          <w:rFonts w:hint="eastAsia" w:ascii="宋体" w:hAnsi="宋体"/>
          <w:sz w:val="21"/>
          <w:szCs w:val="21"/>
        </w:rPr>
        <w:t>素食食品即时烹炒并控干过多汤汁和水分；</w:t>
      </w:r>
    </w:p>
    <w:p w14:paraId="0965791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w:t>
      </w:r>
      <w:r>
        <w:rPr>
          <w:rFonts w:ascii="宋体" w:hAnsi="宋体"/>
          <w:sz w:val="21"/>
          <w:szCs w:val="21"/>
        </w:rPr>
        <w:t>8</w:t>
      </w:r>
      <w:r>
        <w:rPr>
          <w:rFonts w:ascii="宋体" w:hAnsi="宋体"/>
          <w:sz w:val="21"/>
          <w:szCs w:val="21"/>
        </w:rPr>
        <w:tab/>
      </w:r>
      <w:r>
        <w:rPr>
          <w:rFonts w:hint="eastAsia" w:ascii="宋体" w:hAnsi="宋体"/>
          <w:sz w:val="21"/>
          <w:szCs w:val="21"/>
        </w:rPr>
        <w:t>所供食品保证质量。</w:t>
      </w:r>
    </w:p>
    <w:p w14:paraId="609AF173">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3.</w:t>
      </w:r>
      <w:r>
        <w:rPr>
          <w:rFonts w:ascii="宋体" w:hAnsi="宋体"/>
          <w:b/>
          <w:bCs/>
          <w:sz w:val="21"/>
          <w:szCs w:val="21"/>
        </w:rPr>
        <w:tab/>
      </w:r>
      <w:r>
        <w:rPr>
          <w:rFonts w:hint="eastAsia" w:ascii="宋体" w:hAnsi="宋体"/>
          <w:b/>
          <w:bCs/>
          <w:sz w:val="21"/>
          <w:szCs w:val="21"/>
        </w:rPr>
        <w:t>菜品出品时间要求</w:t>
      </w:r>
    </w:p>
    <w:p w14:paraId="0A4B0A2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3.</w:t>
      </w:r>
      <w:r>
        <w:rPr>
          <w:rFonts w:ascii="宋体" w:hAnsi="宋体"/>
          <w:sz w:val="21"/>
          <w:szCs w:val="21"/>
        </w:rPr>
        <w:t>1</w:t>
      </w:r>
      <w:r>
        <w:rPr>
          <w:rFonts w:ascii="宋体" w:hAnsi="宋体"/>
          <w:sz w:val="21"/>
          <w:szCs w:val="21"/>
        </w:rPr>
        <w:tab/>
      </w:r>
      <w:r>
        <w:rPr>
          <w:rFonts w:hint="eastAsia" w:ascii="宋体" w:hAnsi="宋体"/>
          <w:sz w:val="21"/>
          <w:szCs w:val="21"/>
        </w:rPr>
        <w:t>按规定准时开餐，每餐所供食品在开餐前</w:t>
      </w:r>
      <w:r>
        <w:rPr>
          <w:rFonts w:ascii="宋体" w:hAnsi="宋体"/>
          <w:sz w:val="21"/>
          <w:szCs w:val="21"/>
        </w:rPr>
        <w:t>10</w:t>
      </w:r>
      <w:r>
        <w:rPr>
          <w:rFonts w:hint="eastAsia" w:ascii="宋体" w:hAnsi="宋体"/>
          <w:sz w:val="21"/>
          <w:szCs w:val="21"/>
        </w:rPr>
        <w:t>分钟布置完毕，如变更或因其它情况，不能准时开餐，乙方应提前通知甲方，并留有充分时间做出补救。</w:t>
      </w:r>
    </w:p>
    <w:p w14:paraId="285CE0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3.</w:t>
      </w:r>
      <w:r>
        <w:rPr>
          <w:rFonts w:ascii="宋体" w:hAnsi="宋体"/>
          <w:sz w:val="21"/>
          <w:szCs w:val="21"/>
        </w:rPr>
        <w:t>2</w:t>
      </w:r>
      <w:r>
        <w:rPr>
          <w:rFonts w:ascii="宋体" w:hAnsi="宋体"/>
          <w:sz w:val="21"/>
          <w:szCs w:val="21"/>
        </w:rPr>
        <w:tab/>
      </w:r>
      <w:r>
        <w:rPr>
          <w:rFonts w:hint="eastAsia" w:ascii="宋体" w:hAnsi="宋体"/>
          <w:sz w:val="21"/>
          <w:szCs w:val="21"/>
        </w:rPr>
        <w:t>合理安排用餐人数，做好用餐人员分流工作，保持供餐器皿内食品在一半以上，不可出现用餐人员等候拥挤混乱现象。</w:t>
      </w:r>
    </w:p>
    <w:p w14:paraId="5ED89F6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3.</w:t>
      </w:r>
      <w:r>
        <w:rPr>
          <w:rFonts w:ascii="宋体" w:hAnsi="宋体"/>
          <w:sz w:val="21"/>
          <w:szCs w:val="21"/>
        </w:rPr>
        <w:t>3</w:t>
      </w:r>
      <w:r>
        <w:rPr>
          <w:rFonts w:ascii="宋体" w:hAnsi="宋体"/>
          <w:sz w:val="21"/>
          <w:szCs w:val="21"/>
        </w:rPr>
        <w:tab/>
      </w:r>
      <w:r>
        <w:rPr>
          <w:rFonts w:hint="eastAsia" w:ascii="宋体" w:hAnsi="宋体"/>
          <w:sz w:val="21"/>
          <w:szCs w:val="21"/>
        </w:rPr>
        <w:t>分餐服务人员及时准确进行分餐，保证菜量。</w:t>
      </w:r>
    </w:p>
    <w:p w14:paraId="7AA988F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4.</w:t>
      </w:r>
      <w:r>
        <w:rPr>
          <w:rFonts w:ascii="宋体" w:hAnsi="宋体"/>
          <w:b/>
          <w:bCs/>
          <w:sz w:val="21"/>
          <w:szCs w:val="21"/>
        </w:rPr>
        <w:tab/>
      </w:r>
      <w:r>
        <w:rPr>
          <w:rFonts w:hint="eastAsia" w:ascii="宋体" w:hAnsi="宋体"/>
          <w:b/>
          <w:bCs/>
          <w:sz w:val="21"/>
          <w:szCs w:val="21"/>
        </w:rPr>
        <w:t>食品搭配要求</w:t>
      </w:r>
    </w:p>
    <w:p w14:paraId="433DBC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1</w:t>
      </w:r>
      <w:r>
        <w:rPr>
          <w:rFonts w:ascii="宋体" w:hAnsi="宋体"/>
          <w:sz w:val="21"/>
          <w:szCs w:val="21"/>
        </w:rPr>
        <w:tab/>
      </w:r>
      <w:r>
        <w:rPr>
          <w:rFonts w:hint="eastAsia" w:ascii="宋体" w:hAnsi="宋体"/>
          <w:sz w:val="21"/>
          <w:szCs w:val="21"/>
        </w:rPr>
        <w:t>严格按照周菜谱提供用餐食品，菜品应符合基本搭配原则。创新菜品必须经过甲方试菜之后方可实施。</w:t>
      </w:r>
    </w:p>
    <w:p w14:paraId="29C6762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2</w:t>
      </w:r>
      <w:r>
        <w:rPr>
          <w:rFonts w:ascii="宋体" w:hAnsi="宋体"/>
          <w:sz w:val="21"/>
          <w:szCs w:val="21"/>
        </w:rPr>
        <w:tab/>
      </w:r>
      <w:r>
        <w:rPr>
          <w:rFonts w:hint="eastAsia" w:ascii="宋体" w:hAnsi="宋体"/>
          <w:sz w:val="21"/>
          <w:szCs w:val="21"/>
        </w:rPr>
        <w:t>饭菜现做现供，批量制作，份数适当，保证菜品色、香、味和热度。</w:t>
      </w:r>
    </w:p>
    <w:p w14:paraId="6308610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3</w:t>
      </w:r>
      <w:r>
        <w:rPr>
          <w:rFonts w:ascii="宋体" w:hAnsi="宋体"/>
          <w:sz w:val="21"/>
          <w:szCs w:val="21"/>
        </w:rPr>
        <w:tab/>
      </w:r>
      <w:r>
        <w:rPr>
          <w:rFonts w:hint="eastAsia" w:ascii="宋体" w:hAnsi="宋体"/>
          <w:sz w:val="21"/>
          <w:szCs w:val="21"/>
        </w:rPr>
        <w:t>员工早餐为北方风味，南方早茶加西式简易早餐配备。</w:t>
      </w:r>
    </w:p>
    <w:p w14:paraId="397AFAF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4</w:t>
      </w:r>
      <w:r>
        <w:rPr>
          <w:rFonts w:ascii="宋体" w:hAnsi="宋体"/>
          <w:sz w:val="21"/>
          <w:szCs w:val="21"/>
        </w:rPr>
        <w:tab/>
      </w:r>
      <w:r>
        <w:rPr>
          <w:rFonts w:hint="eastAsia" w:ascii="宋体" w:hAnsi="宋体"/>
          <w:sz w:val="21"/>
          <w:szCs w:val="21"/>
        </w:rPr>
        <w:t>员工餐食谱每月不少于</w:t>
      </w:r>
      <w:r>
        <w:rPr>
          <w:rFonts w:ascii="宋体" w:hAnsi="宋体"/>
          <w:sz w:val="21"/>
          <w:szCs w:val="21"/>
        </w:rPr>
        <w:t>4</w:t>
      </w:r>
      <w:r>
        <w:rPr>
          <w:rFonts w:hint="eastAsia" w:ascii="宋体" w:hAnsi="宋体"/>
          <w:sz w:val="21"/>
          <w:szCs w:val="21"/>
        </w:rPr>
        <w:t>套，每周至少</w:t>
      </w:r>
      <w:r>
        <w:rPr>
          <w:rFonts w:ascii="宋体" w:hAnsi="宋体"/>
          <w:sz w:val="21"/>
          <w:szCs w:val="21"/>
        </w:rPr>
        <w:t>1</w:t>
      </w:r>
      <w:r>
        <w:rPr>
          <w:rFonts w:hint="eastAsia" w:ascii="宋体" w:hAnsi="宋体"/>
          <w:sz w:val="21"/>
          <w:szCs w:val="21"/>
        </w:rPr>
        <w:t>套。做到主荤半个月不重样，半荤一周不重样，按照科学的食品营养进餐概念安排食谱。</w:t>
      </w:r>
    </w:p>
    <w:p w14:paraId="400A93A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5</w:t>
      </w:r>
      <w:r>
        <w:rPr>
          <w:rFonts w:ascii="宋体" w:hAnsi="宋体"/>
          <w:sz w:val="21"/>
          <w:szCs w:val="21"/>
        </w:rPr>
        <w:tab/>
      </w:r>
      <w:r>
        <w:rPr>
          <w:rFonts w:hint="eastAsia" w:ascii="宋体" w:hAnsi="宋体"/>
          <w:sz w:val="21"/>
          <w:szCs w:val="21"/>
        </w:rPr>
        <w:t>员工午餐菜品分为荤、荤素、素，提供汤、粥、咸菜、小菜、酱豆腐、调味品；各类主食，并提供酸奶、水果等。</w:t>
      </w:r>
    </w:p>
    <w:p w14:paraId="67B7884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6</w:t>
      </w:r>
      <w:r>
        <w:rPr>
          <w:rFonts w:ascii="宋体" w:hAnsi="宋体"/>
          <w:sz w:val="21"/>
          <w:szCs w:val="21"/>
        </w:rPr>
        <w:tab/>
      </w:r>
      <w:r>
        <w:rPr>
          <w:rFonts w:hint="eastAsia" w:ascii="宋体" w:hAnsi="宋体"/>
          <w:sz w:val="21"/>
          <w:szCs w:val="21"/>
        </w:rPr>
        <w:t>传统民俗节日当日（或之前）午餐时应提供民俗食品。</w:t>
      </w:r>
    </w:p>
    <w:p w14:paraId="0ED3C4B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w:t>
      </w:r>
      <w:r>
        <w:rPr>
          <w:rFonts w:ascii="宋体" w:hAnsi="宋体"/>
          <w:sz w:val="21"/>
          <w:szCs w:val="21"/>
        </w:rPr>
        <w:t>7</w:t>
      </w:r>
      <w:r>
        <w:rPr>
          <w:rFonts w:ascii="宋体" w:hAnsi="宋体"/>
          <w:sz w:val="21"/>
          <w:szCs w:val="21"/>
        </w:rPr>
        <w:tab/>
      </w:r>
      <w:r>
        <w:rPr>
          <w:rFonts w:hint="eastAsia" w:ascii="宋体" w:hAnsi="宋体"/>
          <w:sz w:val="21"/>
          <w:szCs w:val="21"/>
        </w:rPr>
        <w:t>餐厅定期举办美食节，每季度至少一次。</w:t>
      </w:r>
    </w:p>
    <w:p w14:paraId="4CA9303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5.</w:t>
      </w:r>
      <w:r>
        <w:rPr>
          <w:rFonts w:ascii="宋体" w:hAnsi="宋体"/>
          <w:b/>
          <w:bCs/>
          <w:sz w:val="21"/>
          <w:szCs w:val="21"/>
        </w:rPr>
        <w:tab/>
      </w:r>
      <w:r>
        <w:rPr>
          <w:rFonts w:hint="eastAsia" w:ascii="宋体" w:hAnsi="宋体"/>
          <w:b/>
          <w:bCs/>
          <w:sz w:val="21"/>
          <w:szCs w:val="21"/>
        </w:rPr>
        <w:t>原材料验收要求</w:t>
      </w:r>
    </w:p>
    <w:p w14:paraId="060642E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B050"/>
          <w:sz w:val="21"/>
          <w:szCs w:val="21"/>
        </w:rPr>
      </w:pPr>
      <w:r>
        <w:rPr>
          <w:rFonts w:hint="eastAsia" w:ascii="宋体" w:hAnsi="宋体"/>
          <w:sz w:val="21"/>
          <w:szCs w:val="21"/>
        </w:rPr>
        <w:t>乙方负责监督检验食材供应商从正规渠道购进，并经过有关食品检验检疫部门的正规检验合格，必须严格执行国家相关法规。其中，肉制品的采购必须实行定点采购，并应提供采购点的营业执照、卫生许可证、检验检疫合格证等。蔬菜类材料必须从正规市场购入并符合国家有关食品安全方面的规定。各种主食材料（米、面等）、辅料、调味品及卫生消毒用品、消耗品等必须从正规厂商或商场购入，指定品牌和采购渠道，并提供产品的品牌和采购点的营业执照、卫生许可证、检验检疫合格证等材料，保证质量，杜绝使用三无产品、假冒伪劣、过期产品。</w:t>
      </w:r>
    </w:p>
    <w:p w14:paraId="093D75F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bCs/>
          <w:sz w:val="21"/>
          <w:szCs w:val="21"/>
        </w:rPr>
      </w:pPr>
      <w:r>
        <w:rPr>
          <w:rFonts w:hint="eastAsia" w:ascii="宋体" w:hAnsi="宋体"/>
          <w:b/>
          <w:bCs/>
          <w:sz w:val="21"/>
          <w:szCs w:val="21"/>
        </w:rPr>
        <w:t>6.</w:t>
      </w:r>
      <w:r>
        <w:rPr>
          <w:rFonts w:ascii="宋体" w:hAnsi="宋体"/>
          <w:b/>
          <w:bCs/>
          <w:sz w:val="21"/>
          <w:szCs w:val="21"/>
        </w:rPr>
        <w:tab/>
      </w:r>
      <w:r>
        <w:rPr>
          <w:rFonts w:hint="eastAsia" w:ascii="宋体" w:hAnsi="宋体"/>
          <w:b/>
          <w:bCs/>
          <w:sz w:val="21"/>
          <w:szCs w:val="21"/>
        </w:rPr>
        <w:t>管理制度要求</w:t>
      </w:r>
    </w:p>
    <w:p w14:paraId="71C0C88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乙方应根据餐厅的具体运营情况制定管理制度，管理制度应包含以下内容：</w:t>
      </w:r>
    </w:p>
    <w:p w14:paraId="322107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（1）食品质量控制方案：包括制作标准和流程、出品时间、剩余食品保存和处理等内容。</w:t>
      </w:r>
    </w:p>
    <w:p w14:paraId="2F7412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（2）服务质量控制方案：包括服务规范、组织结构、职责分配、人员管理、员工培训计划等内容。</w:t>
      </w:r>
    </w:p>
    <w:p w14:paraId="68CDE1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（3）卫生管理方案：包括食品卫生保障措施、食品安全卫生突发事件应对措施、人员卫生保障措施、环境卫生及垃圾处理、灭虫害措施等。</w:t>
      </w:r>
    </w:p>
    <w:p w14:paraId="64FA181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（4）餐厅环境美化布置、日常管理方案。</w:t>
      </w:r>
    </w:p>
    <w:p w14:paraId="73E8E1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（5）人工成本控制方案。</w:t>
      </w:r>
    </w:p>
    <w:p w14:paraId="5F98717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（6）会议用餐的制作、服务方案和管理制度。</w:t>
      </w:r>
    </w:p>
    <w:p w14:paraId="3FB7B6F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（7）厨房设备的使用、保养、维修管理制度和烟道清理方案。</w:t>
      </w:r>
    </w:p>
    <w:p w14:paraId="18A69B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（8）消防、安全及意外情况处理方案。</w:t>
      </w:r>
    </w:p>
    <w:p w14:paraId="3DD917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（9）节能方案和环保措施。</w:t>
      </w:r>
    </w:p>
    <w:p w14:paraId="0EA2F3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（1</w:t>
      </w:r>
      <w:r>
        <w:rPr>
          <w:rFonts w:ascii="宋体" w:hAnsi="宋体"/>
          <w:sz w:val="21"/>
          <w:szCs w:val="21"/>
        </w:rPr>
        <w:t>0</w:t>
      </w:r>
      <w:r>
        <w:rPr>
          <w:rFonts w:hint="eastAsia" w:ascii="宋体" w:hAnsi="宋体"/>
          <w:sz w:val="21"/>
          <w:szCs w:val="21"/>
        </w:rPr>
        <w:t>）投诉处理方案（包括处罚方式等内容）。</w:t>
      </w:r>
    </w:p>
    <w:p w14:paraId="13E7C24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（1</w:t>
      </w:r>
      <w:r>
        <w:rPr>
          <w:rFonts w:ascii="宋体" w:hAnsi="宋体"/>
          <w:sz w:val="21"/>
          <w:szCs w:val="21"/>
        </w:rPr>
        <w:t>1</w:t>
      </w:r>
      <w:r>
        <w:rPr>
          <w:rFonts w:hint="eastAsia" w:ascii="宋体" w:hAnsi="宋体"/>
          <w:sz w:val="21"/>
          <w:szCs w:val="21"/>
        </w:rPr>
        <w:t>）优惠服务承诺。</w:t>
      </w:r>
    </w:p>
    <w:p w14:paraId="578CFA1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（1</w:t>
      </w:r>
      <w:r>
        <w:rPr>
          <w:rFonts w:ascii="宋体" w:hAnsi="宋体"/>
          <w:sz w:val="21"/>
          <w:szCs w:val="21"/>
        </w:rPr>
        <w:t>2</w:t>
      </w:r>
      <w:r>
        <w:rPr>
          <w:rFonts w:hint="eastAsia" w:ascii="宋体" w:hAnsi="宋体"/>
          <w:sz w:val="21"/>
          <w:szCs w:val="21"/>
        </w:rPr>
        <w:t>）提供的其它服务。</w:t>
      </w:r>
    </w:p>
    <w:p w14:paraId="502871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sz w:val="21"/>
          <w:szCs w:val="21"/>
        </w:rPr>
      </w:pPr>
      <w:r>
        <w:rPr>
          <w:rFonts w:hint="eastAsia" w:ascii="宋体" w:hAnsi="宋体"/>
          <w:sz w:val="21"/>
          <w:szCs w:val="21"/>
        </w:rPr>
        <w:t>（1</w:t>
      </w:r>
      <w:r>
        <w:rPr>
          <w:rFonts w:ascii="宋体" w:hAnsi="宋体"/>
          <w:sz w:val="21"/>
          <w:szCs w:val="21"/>
        </w:rPr>
        <w:t>3</w:t>
      </w:r>
      <w:r>
        <w:rPr>
          <w:rFonts w:hint="eastAsia" w:ascii="宋体" w:hAnsi="宋体"/>
          <w:sz w:val="21"/>
          <w:szCs w:val="21"/>
        </w:rPr>
        <w:t>）餐厅交接方案：为了保证餐饮工作的顺利交接，乙方应制定详细可行的交接方案，方案应包括以下内容：对固定资产的清点和交接、对人员的交接、对库存物资的交接、对财务的交接、对运营记录及待办事宜的交接，交接的工作进度安排和对接人员的安排等方案内容。且乙方需承诺全部交接应在</w:t>
      </w:r>
      <w:r>
        <w:rPr>
          <w:rFonts w:ascii="宋体" w:hAnsi="宋体"/>
          <w:sz w:val="21"/>
          <w:szCs w:val="21"/>
        </w:rPr>
        <w:t>48</w:t>
      </w:r>
      <w:r>
        <w:rPr>
          <w:rFonts w:hint="eastAsia" w:ascii="宋体" w:hAnsi="宋体"/>
          <w:sz w:val="21"/>
          <w:szCs w:val="21"/>
        </w:rPr>
        <w:t>小时内完成，不得影响员工的正常供餐。</w:t>
      </w:r>
    </w:p>
    <w:p w14:paraId="027067CC">
      <w:pPr>
        <w:keepNext w:val="0"/>
        <w:keepLines w:val="0"/>
        <w:pageBreakBefore w:val="0"/>
        <w:widowControl/>
        <w:kinsoku/>
        <w:wordWrap/>
        <w:overflowPunct/>
        <w:topLinePunct w:val="0"/>
        <w:autoSpaceDE/>
        <w:autoSpaceDN/>
        <w:bidi w:val="0"/>
        <w:spacing w:line="360" w:lineRule="auto"/>
        <w:jc w:val="left"/>
        <w:textAlignment w:val="auto"/>
        <w:rPr>
          <w:sz w:val="21"/>
          <w:szCs w:val="21"/>
        </w:rPr>
      </w:pPr>
      <w:r>
        <w:rPr>
          <w:sz w:val="21"/>
          <w:szCs w:val="21"/>
        </w:rPr>
        <w:br w:type="page"/>
      </w:r>
    </w:p>
    <w:p w14:paraId="771E6E8D">
      <w:pPr>
        <w:rPr>
          <w:b/>
          <w:bCs/>
        </w:rPr>
      </w:pPr>
      <w:bookmarkStart w:id="59" w:name="_Toc73465448"/>
      <w:bookmarkStart w:id="60" w:name="_Toc94"/>
      <w:r>
        <w:rPr>
          <w:rFonts w:hint="eastAsia"/>
          <w:b/>
          <w:bCs/>
        </w:rPr>
        <w:t>附件三：餐饮服务质量考核细则</w:t>
      </w:r>
      <w:bookmarkEnd w:id="59"/>
      <w:bookmarkEnd w:id="60"/>
    </w:p>
    <w:tbl>
      <w:tblPr>
        <w:tblStyle w:val="26"/>
        <w:tblW w:w="5000" w:type="pct"/>
        <w:tblInd w:w="0" w:type="dxa"/>
        <w:tblLayout w:type="autofit"/>
        <w:tblCellMar>
          <w:top w:w="0" w:type="dxa"/>
          <w:left w:w="108" w:type="dxa"/>
          <w:bottom w:w="0" w:type="dxa"/>
          <w:right w:w="108" w:type="dxa"/>
        </w:tblCellMar>
      </w:tblPr>
      <w:tblGrid>
        <w:gridCol w:w="104"/>
        <w:gridCol w:w="1000"/>
        <w:gridCol w:w="6418"/>
        <w:gridCol w:w="685"/>
        <w:gridCol w:w="685"/>
        <w:gridCol w:w="964"/>
        <w:gridCol w:w="106"/>
      </w:tblGrid>
      <w:tr w14:paraId="4EC4DB40">
        <w:tblPrEx>
          <w:tblCellMar>
            <w:top w:w="0" w:type="dxa"/>
            <w:left w:w="108" w:type="dxa"/>
            <w:bottom w:w="0" w:type="dxa"/>
            <w:right w:w="108" w:type="dxa"/>
          </w:tblCellMar>
        </w:tblPrEx>
        <w:trPr>
          <w:gridBefore w:val="1"/>
          <w:wBefore w:w="52" w:type="pct"/>
          <w:trHeight w:val="702" w:hRule="atLeast"/>
        </w:trPr>
        <w:tc>
          <w:tcPr>
            <w:tcW w:w="4948" w:type="pct"/>
            <w:gridSpan w:val="6"/>
            <w:tcBorders>
              <w:top w:val="nil"/>
              <w:left w:val="nil"/>
              <w:bottom w:val="nil"/>
              <w:right w:val="nil"/>
            </w:tcBorders>
            <w:shd w:val="clear" w:color="auto" w:fill="auto"/>
            <w:noWrap/>
            <w:vAlign w:val="center"/>
          </w:tcPr>
          <w:p w14:paraId="30F3C0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餐饮公司月度考核表(年月)</w:t>
            </w:r>
          </w:p>
        </w:tc>
      </w:tr>
      <w:tr w14:paraId="3A82C6D0">
        <w:tblPrEx>
          <w:tblCellMar>
            <w:top w:w="0" w:type="dxa"/>
            <w:left w:w="108" w:type="dxa"/>
            <w:bottom w:w="0" w:type="dxa"/>
            <w:right w:w="108" w:type="dxa"/>
          </w:tblCellMar>
        </w:tblPrEx>
        <w:trPr>
          <w:gridAfter w:val="1"/>
          <w:wAfter w:w="53" w:type="pct"/>
          <w:trHeight w:val="553" w:hRule="atLeast"/>
        </w:trPr>
        <w:tc>
          <w:tcPr>
            <w:tcW w:w="5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C631A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项目</w:t>
            </w:r>
          </w:p>
        </w:tc>
        <w:tc>
          <w:tcPr>
            <w:tcW w:w="3221" w:type="pct"/>
            <w:tcBorders>
              <w:top w:val="single" w:color="auto" w:sz="4" w:space="0"/>
              <w:left w:val="nil"/>
              <w:bottom w:val="single" w:color="auto" w:sz="4" w:space="0"/>
              <w:right w:val="single" w:color="auto" w:sz="4" w:space="0"/>
            </w:tcBorders>
            <w:shd w:val="clear" w:color="auto" w:fill="auto"/>
            <w:vAlign w:val="center"/>
          </w:tcPr>
          <w:p w14:paraId="46FE2BE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考核具体内容</w:t>
            </w:r>
          </w:p>
        </w:tc>
        <w:tc>
          <w:tcPr>
            <w:tcW w:w="344" w:type="pct"/>
            <w:tcBorders>
              <w:top w:val="single" w:color="auto" w:sz="4" w:space="0"/>
              <w:left w:val="nil"/>
              <w:bottom w:val="single" w:color="auto" w:sz="4" w:space="0"/>
              <w:right w:val="single" w:color="auto" w:sz="4" w:space="0"/>
            </w:tcBorders>
            <w:shd w:val="clear" w:color="auto" w:fill="auto"/>
            <w:vAlign w:val="center"/>
          </w:tcPr>
          <w:p w14:paraId="2E119F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分值</w:t>
            </w:r>
          </w:p>
        </w:tc>
        <w:tc>
          <w:tcPr>
            <w:tcW w:w="344" w:type="pct"/>
            <w:tcBorders>
              <w:top w:val="single" w:color="auto" w:sz="4" w:space="0"/>
              <w:left w:val="nil"/>
              <w:bottom w:val="single" w:color="auto" w:sz="4" w:space="0"/>
              <w:right w:val="single" w:color="auto" w:sz="4" w:space="0"/>
            </w:tcBorders>
            <w:shd w:val="clear" w:color="auto" w:fill="auto"/>
            <w:vAlign w:val="center"/>
          </w:tcPr>
          <w:p w14:paraId="7A2B7ED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得分</w:t>
            </w:r>
          </w:p>
        </w:tc>
        <w:tc>
          <w:tcPr>
            <w:tcW w:w="484" w:type="pct"/>
            <w:tcBorders>
              <w:top w:val="single" w:color="auto" w:sz="4" w:space="0"/>
              <w:left w:val="nil"/>
              <w:bottom w:val="single" w:color="auto" w:sz="4" w:space="0"/>
              <w:right w:val="single" w:color="auto" w:sz="4" w:space="0"/>
            </w:tcBorders>
            <w:shd w:val="clear" w:color="auto" w:fill="auto"/>
            <w:vAlign w:val="center"/>
          </w:tcPr>
          <w:p w14:paraId="1FE7D2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14:paraId="7FADB734">
        <w:tblPrEx>
          <w:tblCellMar>
            <w:top w:w="0" w:type="dxa"/>
            <w:left w:w="108" w:type="dxa"/>
            <w:bottom w:w="0" w:type="dxa"/>
            <w:right w:w="108" w:type="dxa"/>
          </w:tblCellMar>
        </w:tblPrEx>
        <w:trPr>
          <w:gridAfter w:val="1"/>
          <w:wAfter w:w="53" w:type="pct"/>
          <w:trHeight w:val="612"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015BD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食材</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管理</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(13分)</w:t>
            </w:r>
          </w:p>
        </w:tc>
        <w:tc>
          <w:tcPr>
            <w:tcW w:w="3221" w:type="pct"/>
            <w:tcBorders>
              <w:top w:val="nil"/>
              <w:left w:val="nil"/>
              <w:bottom w:val="single" w:color="auto" w:sz="4" w:space="0"/>
              <w:right w:val="single" w:color="auto" w:sz="4" w:space="0"/>
            </w:tcBorders>
            <w:shd w:val="clear" w:color="auto" w:fill="auto"/>
            <w:vAlign w:val="center"/>
          </w:tcPr>
          <w:p w14:paraId="7A13EBF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粮油调料、肉等主要食品原料必须从正规渠道进货，所购物品必须有供货方的卫生合格证或销售许可证。</w:t>
            </w:r>
          </w:p>
        </w:tc>
        <w:tc>
          <w:tcPr>
            <w:tcW w:w="344" w:type="pct"/>
            <w:tcBorders>
              <w:top w:val="nil"/>
              <w:left w:val="nil"/>
              <w:bottom w:val="single" w:color="auto" w:sz="4" w:space="0"/>
              <w:right w:val="single" w:color="auto" w:sz="4" w:space="0"/>
            </w:tcBorders>
            <w:shd w:val="clear" w:color="auto" w:fill="auto"/>
            <w:vAlign w:val="center"/>
          </w:tcPr>
          <w:p w14:paraId="08753DE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14:paraId="4D3DA5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2E67EF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091F5A7">
        <w:tblPrEx>
          <w:tblCellMar>
            <w:top w:w="0" w:type="dxa"/>
            <w:left w:w="108" w:type="dxa"/>
            <w:bottom w:w="0" w:type="dxa"/>
            <w:right w:w="108" w:type="dxa"/>
          </w:tblCellMar>
        </w:tblPrEx>
        <w:trPr>
          <w:gridAfter w:val="1"/>
          <w:wAfter w:w="53" w:type="pct"/>
          <w:trHeight w:val="47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BC8615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3A3487C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验货登记明细，与订货数量相符，上下浮动不超过20%。</w:t>
            </w:r>
          </w:p>
        </w:tc>
        <w:tc>
          <w:tcPr>
            <w:tcW w:w="344" w:type="pct"/>
            <w:tcBorders>
              <w:top w:val="nil"/>
              <w:left w:val="nil"/>
              <w:bottom w:val="single" w:color="auto" w:sz="4" w:space="0"/>
              <w:right w:val="single" w:color="auto" w:sz="4" w:space="0"/>
            </w:tcBorders>
            <w:shd w:val="clear" w:color="auto" w:fill="auto"/>
            <w:vAlign w:val="center"/>
          </w:tcPr>
          <w:p w14:paraId="09BEC43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4636C9F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0552C51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3E915BFC">
        <w:tblPrEx>
          <w:tblCellMar>
            <w:top w:w="0" w:type="dxa"/>
            <w:left w:w="108" w:type="dxa"/>
            <w:bottom w:w="0" w:type="dxa"/>
            <w:right w:w="108" w:type="dxa"/>
          </w:tblCellMar>
        </w:tblPrEx>
        <w:trPr>
          <w:gridAfter w:val="1"/>
          <w:wAfter w:w="53" w:type="pct"/>
          <w:trHeight w:val="581"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2AB3321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0CA160E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成品、半成品、调料必须有厂商、生产日期及保质期限，无霉变、异味现象。</w:t>
            </w:r>
          </w:p>
        </w:tc>
        <w:tc>
          <w:tcPr>
            <w:tcW w:w="344" w:type="pct"/>
            <w:tcBorders>
              <w:top w:val="nil"/>
              <w:left w:val="nil"/>
              <w:bottom w:val="single" w:color="auto" w:sz="4" w:space="0"/>
              <w:right w:val="single" w:color="auto" w:sz="4" w:space="0"/>
            </w:tcBorders>
            <w:shd w:val="clear" w:color="auto" w:fill="auto"/>
            <w:vAlign w:val="center"/>
          </w:tcPr>
          <w:p w14:paraId="4A44F03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0DB94B4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CC61F5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2EEB307">
        <w:tblPrEx>
          <w:tblCellMar>
            <w:top w:w="0" w:type="dxa"/>
            <w:left w:w="108" w:type="dxa"/>
            <w:bottom w:w="0" w:type="dxa"/>
            <w:right w:w="108" w:type="dxa"/>
          </w:tblCellMar>
        </w:tblPrEx>
        <w:trPr>
          <w:gridAfter w:val="1"/>
          <w:wAfter w:w="53" w:type="pct"/>
          <w:trHeight w:val="20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963C04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1136BB3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副食库有详细的出入库记录和台账。</w:t>
            </w:r>
          </w:p>
        </w:tc>
        <w:tc>
          <w:tcPr>
            <w:tcW w:w="344" w:type="pct"/>
            <w:tcBorders>
              <w:top w:val="nil"/>
              <w:left w:val="nil"/>
              <w:bottom w:val="single" w:color="auto" w:sz="4" w:space="0"/>
              <w:right w:val="single" w:color="auto" w:sz="4" w:space="0"/>
            </w:tcBorders>
            <w:shd w:val="clear" w:color="auto" w:fill="auto"/>
            <w:vAlign w:val="center"/>
          </w:tcPr>
          <w:p w14:paraId="2259C7F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24EDA05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3995F12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9EAB732">
        <w:tblPrEx>
          <w:tblCellMar>
            <w:top w:w="0" w:type="dxa"/>
            <w:left w:w="108" w:type="dxa"/>
            <w:bottom w:w="0" w:type="dxa"/>
            <w:right w:w="108" w:type="dxa"/>
          </w:tblCellMar>
        </w:tblPrEx>
        <w:trPr>
          <w:gridAfter w:val="1"/>
          <w:wAfter w:w="53" w:type="pct"/>
          <w:trHeight w:val="702"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594964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卫生</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安全</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（24分）</w:t>
            </w:r>
          </w:p>
        </w:tc>
        <w:tc>
          <w:tcPr>
            <w:tcW w:w="3221" w:type="pct"/>
            <w:tcBorders>
              <w:top w:val="nil"/>
              <w:left w:val="nil"/>
              <w:bottom w:val="single" w:color="auto" w:sz="4" w:space="0"/>
              <w:right w:val="single" w:color="auto" w:sz="4" w:space="0"/>
            </w:tcBorders>
            <w:shd w:val="clear" w:color="auto" w:fill="auto"/>
            <w:vAlign w:val="center"/>
          </w:tcPr>
          <w:p w14:paraId="31DDBDD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原料、半成品、成品的加工、存放及使用容器是否存在交叉污染并有明显的区分标志，生、熟食品分开，食品存放分类分架，无过期、变质食品。</w:t>
            </w:r>
          </w:p>
        </w:tc>
        <w:tc>
          <w:tcPr>
            <w:tcW w:w="344" w:type="pct"/>
            <w:tcBorders>
              <w:top w:val="nil"/>
              <w:left w:val="nil"/>
              <w:bottom w:val="single" w:color="auto" w:sz="4" w:space="0"/>
              <w:right w:val="single" w:color="auto" w:sz="4" w:space="0"/>
            </w:tcBorders>
            <w:shd w:val="clear" w:color="auto" w:fill="auto"/>
            <w:vAlign w:val="center"/>
          </w:tcPr>
          <w:p w14:paraId="3D3ED21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14:paraId="051565F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16974D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07B80B67">
        <w:tblPrEx>
          <w:tblCellMar>
            <w:top w:w="0" w:type="dxa"/>
            <w:left w:w="108" w:type="dxa"/>
            <w:bottom w:w="0" w:type="dxa"/>
            <w:right w:w="108" w:type="dxa"/>
          </w:tblCellMar>
        </w:tblPrEx>
        <w:trPr>
          <w:gridAfter w:val="1"/>
          <w:wAfter w:w="53" w:type="pct"/>
          <w:trHeight w:val="672"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542F10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4ECCFB5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厨房卫生清洁，地面干净，无积水，无杂物，操作台及灶台及售饭台卫生整洁，餐厅地面及桌椅每日清扫，地面整洁，桌椅洁净无油污。</w:t>
            </w:r>
            <w:r>
              <w:rPr>
                <w:rFonts w:hint="eastAsia" w:ascii="宋体" w:hAnsi="宋体" w:cs="宋体"/>
                <w:kern w:val="0"/>
                <w:sz w:val="21"/>
                <w:szCs w:val="21"/>
              </w:rPr>
              <w:t>（室内隔油器每日清掏）</w:t>
            </w:r>
          </w:p>
        </w:tc>
        <w:tc>
          <w:tcPr>
            <w:tcW w:w="344" w:type="pct"/>
            <w:tcBorders>
              <w:top w:val="nil"/>
              <w:left w:val="nil"/>
              <w:bottom w:val="single" w:color="auto" w:sz="4" w:space="0"/>
              <w:right w:val="single" w:color="auto" w:sz="4" w:space="0"/>
            </w:tcBorders>
            <w:shd w:val="clear" w:color="auto" w:fill="auto"/>
            <w:vAlign w:val="center"/>
          </w:tcPr>
          <w:p w14:paraId="389CCDC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6C25830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5302BF9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A24789F">
        <w:tblPrEx>
          <w:tblCellMar>
            <w:top w:w="0" w:type="dxa"/>
            <w:left w:w="108" w:type="dxa"/>
            <w:bottom w:w="0" w:type="dxa"/>
            <w:right w:w="108" w:type="dxa"/>
          </w:tblCellMar>
        </w:tblPrEx>
        <w:trPr>
          <w:gridAfter w:val="1"/>
          <w:wAfter w:w="53" w:type="pct"/>
          <w:trHeight w:val="53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321084D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54D6616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灶具餐具、熟食容器定期消毒并保持清洁，做到“一洗二清三消毒四隔离”。</w:t>
            </w:r>
          </w:p>
        </w:tc>
        <w:tc>
          <w:tcPr>
            <w:tcW w:w="344" w:type="pct"/>
            <w:tcBorders>
              <w:top w:val="nil"/>
              <w:left w:val="nil"/>
              <w:bottom w:val="single" w:color="auto" w:sz="4" w:space="0"/>
              <w:right w:val="single" w:color="auto" w:sz="4" w:space="0"/>
            </w:tcBorders>
            <w:shd w:val="clear" w:color="auto" w:fill="auto"/>
            <w:vAlign w:val="center"/>
          </w:tcPr>
          <w:p w14:paraId="66FB40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6547BFF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B57DEC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838AE53">
        <w:tblPrEx>
          <w:tblCellMar>
            <w:top w:w="0" w:type="dxa"/>
            <w:left w:w="108" w:type="dxa"/>
            <w:bottom w:w="0" w:type="dxa"/>
            <w:right w:w="108" w:type="dxa"/>
          </w:tblCellMar>
        </w:tblPrEx>
        <w:trPr>
          <w:gridAfter w:val="1"/>
          <w:wAfter w:w="53" w:type="pct"/>
          <w:trHeight w:val="224"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4B377D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50D0490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每日三餐在开餐前留样备查。</w:t>
            </w:r>
          </w:p>
        </w:tc>
        <w:tc>
          <w:tcPr>
            <w:tcW w:w="344" w:type="pct"/>
            <w:tcBorders>
              <w:top w:val="nil"/>
              <w:left w:val="nil"/>
              <w:bottom w:val="single" w:color="auto" w:sz="4" w:space="0"/>
              <w:right w:val="single" w:color="auto" w:sz="4" w:space="0"/>
            </w:tcBorders>
            <w:shd w:val="clear" w:color="auto" w:fill="auto"/>
            <w:vAlign w:val="center"/>
          </w:tcPr>
          <w:p w14:paraId="009A6F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465B36D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A10DE6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6E8A6921">
        <w:tblPrEx>
          <w:tblCellMar>
            <w:top w:w="0" w:type="dxa"/>
            <w:left w:w="108" w:type="dxa"/>
            <w:bottom w:w="0" w:type="dxa"/>
            <w:right w:w="108" w:type="dxa"/>
          </w:tblCellMar>
        </w:tblPrEx>
        <w:trPr>
          <w:gridAfter w:val="1"/>
          <w:wAfter w:w="53" w:type="pct"/>
          <w:trHeight w:val="172"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66E6280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04D653D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菜品中不能出现内源性异物和外源性异物。</w:t>
            </w:r>
          </w:p>
        </w:tc>
        <w:tc>
          <w:tcPr>
            <w:tcW w:w="344" w:type="pct"/>
            <w:tcBorders>
              <w:top w:val="nil"/>
              <w:left w:val="nil"/>
              <w:bottom w:val="single" w:color="auto" w:sz="4" w:space="0"/>
              <w:right w:val="single" w:color="auto" w:sz="4" w:space="0"/>
            </w:tcBorders>
            <w:shd w:val="clear" w:color="auto" w:fill="auto"/>
            <w:vAlign w:val="center"/>
          </w:tcPr>
          <w:p w14:paraId="76FE438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w:t>
            </w:r>
          </w:p>
        </w:tc>
        <w:tc>
          <w:tcPr>
            <w:tcW w:w="344" w:type="pct"/>
            <w:vMerge w:val="continue"/>
            <w:tcBorders>
              <w:top w:val="nil"/>
              <w:left w:val="single" w:color="auto" w:sz="4" w:space="0"/>
              <w:bottom w:val="single" w:color="auto" w:sz="4" w:space="0"/>
              <w:right w:val="single" w:color="auto" w:sz="4" w:space="0"/>
            </w:tcBorders>
            <w:vAlign w:val="center"/>
          </w:tcPr>
          <w:p w14:paraId="34BB0CF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CE89C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9C72278">
        <w:tblPrEx>
          <w:tblCellMar>
            <w:top w:w="0" w:type="dxa"/>
            <w:left w:w="108" w:type="dxa"/>
            <w:bottom w:w="0" w:type="dxa"/>
            <w:right w:w="108" w:type="dxa"/>
          </w:tblCellMar>
        </w:tblPrEx>
        <w:trPr>
          <w:gridAfter w:val="1"/>
          <w:wAfter w:w="53" w:type="pct"/>
          <w:trHeight w:val="57"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964254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6CDD24D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餐厅人员必须持有效的健康证上岗，定期检查。</w:t>
            </w:r>
          </w:p>
        </w:tc>
        <w:tc>
          <w:tcPr>
            <w:tcW w:w="344" w:type="pct"/>
            <w:tcBorders>
              <w:top w:val="nil"/>
              <w:left w:val="nil"/>
              <w:bottom w:val="single" w:color="auto" w:sz="4" w:space="0"/>
              <w:right w:val="single" w:color="auto" w:sz="4" w:space="0"/>
            </w:tcBorders>
            <w:shd w:val="clear" w:color="auto" w:fill="auto"/>
            <w:vAlign w:val="center"/>
          </w:tcPr>
          <w:p w14:paraId="3587FBA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w:t>
            </w:r>
          </w:p>
        </w:tc>
        <w:tc>
          <w:tcPr>
            <w:tcW w:w="344" w:type="pct"/>
            <w:vMerge w:val="continue"/>
            <w:tcBorders>
              <w:top w:val="nil"/>
              <w:left w:val="single" w:color="auto" w:sz="4" w:space="0"/>
              <w:bottom w:val="single" w:color="auto" w:sz="4" w:space="0"/>
              <w:right w:val="single" w:color="auto" w:sz="4" w:space="0"/>
            </w:tcBorders>
            <w:vAlign w:val="center"/>
          </w:tcPr>
          <w:p w14:paraId="5855EC5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51B56F0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0E65BED3">
        <w:tblPrEx>
          <w:tblCellMar>
            <w:top w:w="0" w:type="dxa"/>
            <w:left w:w="108" w:type="dxa"/>
            <w:bottom w:w="0" w:type="dxa"/>
            <w:right w:w="108" w:type="dxa"/>
          </w:tblCellMar>
        </w:tblPrEx>
        <w:trPr>
          <w:gridAfter w:val="1"/>
          <w:wAfter w:w="53" w:type="pct"/>
          <w:trHeight w:val="405"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A243C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服务</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态度</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（13分）</w:t>
            </w:r>
          </w:p>
        </w:tc>
        <w:tc>
          <w:tcPr>
            <w:tcW w:w="3221" w:type="pct"/>
            <w:tcBorders>
              <w:top w:val="nil"/>
              <w:left w:val="nil"/>
              <w:bottom w:val="single" w:color="auto" w:sz="4" w:space="0"/>
              <w:right w:val="single" w:color="auto" w:sz="4" w:space="0"/>
            </w:tcBorders>
            <w:shd w:val="clear" w:color="auto" w:fill="auto"/>
            <w:vAlign w:val="center"/>
          </w:tcPr>
          <w:p w14:paraId="2ACB77E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餐厅人员必须保持整洁，不准佩戴首饰，两手干净，操作食品时要带一次性手套，禁止挖鼻孔，对食品打喷嚏等不卫生行为。</w:t>
            </w:r>
          </w:p>
        </w:tc>
        <w:tc>
          <w:tcPr>
            <w:tcW w:w="344" w:type="pct"/>
            <w:tcBorders>
              <w:top w:val="nil"/>
              <w:left w:val="nil"/>
              <w:bottom w:val="single" w:color="auto" w:sz="4" w:space="0"/>
              <w:right w:val="single" w:color="auto" w:sz="4" w:space="0"/>
            </w:tcBorders>
            <w:shd w:val="clear" w:color="auto" w:fill="auto"/>
            <w:vAlign w:val="center"/>
          </w:tcPr>
          <w:p w14:paraId="70A49D9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14:paraId="118FA9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5ECF21A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32E41B0">
        <w:tblPrEx>
          <w:tblCellMar>
            <w:top w:w="0" w:type="dxa"/>
            <w:left w:w="108" w:type="dxa"/>
            <w:bottom w:w="0" w:type="dxa"/>
            <w:right w:w="108" w:type="dxa"/>
          </w:tblCellMar>
        </w:tblPrEx>
        <w:trPr>
          <w:gridAfter w:val="1"/>
          <w:wAfter w:w="53" w:type="pct"/>
          <w:trHeight w:val="18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600A940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28BEFCC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食堂服务人员热情礼貌服务，不得发生争吵，打骂等不文明行为，有问题反映办公室解决。</w:t>
            </w:r>
          </w:p>
        </w:tc>
        <w:tc>
          <w:tcPr>
            <w:tcW w:w="344" w:type="pct"/>
            <w:tcBorders>
              <w:top w:val="nil"/>
              <w:left w:val="nil"/>
              <w:bottom w:val="single" w:color="auto" w:sz="4" w:space="0"/>
              <w:right w:val="single" w:color="auto" w:sz="4" w:space="0"/>
            </w:tcBorders>
            <w:shd w:val="clear" w:color="auto" w:fill="auto"/>
            <w:vAlign w:val="center"/>
          </w:tcPr>
          <w:p w14:paraId="4F8E8C8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1DF274E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04A30A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344E6649">
        <w:tblPrEx>
          <w:tblCellMar>
            <w:top w:w="0" w:type="dxa"/>
            <w:left w:w="108" w:type="dxa"/>
            <w:bottom w:w="0" w:type="dxa"/>
            <w:right w:w="108" w:type="dxa"/>
          </w:tblCellMar>
        </w:tblPrEx>
        <w:trPr>
          <w:gridAfter w:val="1"/>
          <w:wAfter w:w="53" w:type="pct"/>
          <w:trHeight w:val="400"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47431FD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707DD54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严格按照中心规定时间进行开闭餐，餐具准备充足，中间不能断档。</w:t>
            </w:r>
          </w:p>
        </w:tc>
        <w:tc>
          <w:tcPr>
            <w:tcW w:w="344" w:type="pct"/>
            <w:tcBorders>
              <w:top w:val="nil"/>
              <w:left w:val="nil"/>
              <w:bottom w:val="single" w:color="auto" w:sz="4" w:space="0"/>
              <w:right w:val="single" w:color="auto" w:sz="4" w:space="0"/>
            </w:tcBorders>
            <w:shd w:val="clear" w:color="auto" w:fill="auto"/>
            <w:vAlign w:val="center"/>
          </w:tcPr>
          <w:p w14:paraId="2DD3AF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continue"/>
            <w:tcBorders>
              <w:top w:val="nil"/>
              <w:left w:val="single" w:color="auto" w:sz="4" w:space="0"/>
              <w:bottom w:val="single" w:color="auto" w:sz="4" w:space="0"/>
              <w:right w:val="single" w:color="auto" w:sz="4" w:space="0"/>
            </w:tcBorders>
            <w:vAlign w:val="center"/>
          </w:tcPr>
          <w:p w14:paraId="78093DD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40F8003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1AFD52AF">
        <w:tblPrEx>
          <w:tblCellMar>
            <w:top w:w="0" w:type="dxa"/>
            <w:left w:w="108" w:type="dxa"/>
            <w:bottom w:w="0" w:type="dxa"/>
            <w:right w:w="108" w:type="dxa"/>
          </w:tblCellMar>
        </w:tblPrEx>
        <w:trPr>
          <w:gridAfter w:val="1"/>
          <w:wAfter w:w="53" w:type="pct"/>
          <w:trHeight w:val="164"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BA69BE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4AE179B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员工的合理建议整改和投诉建议处理的及时性。</w:t>
            </w:r>
          </w:p>
        </w:tc>
        <w:tc>
          <w:tcPr>
            <w:tcW w:w="344" w:type="pct"/>
            <w:tcBorders>
              <w:top w:val="nil"/>
              <w:left w:val="nil"/>
              <w:bottom w:val="single" w:color="auto" w:sz="4" w:space="0"/>
              <w:right w:val="single" w:color="auto" w:sz="4" w:space="0"/>
            </w:tcBorders>
            <w:shd w:val="clear" w:color="auto" w:fill="auto"/>
            <w:vAlign w:val="center"/>
          </w:tcPr>
          <w:p w14:paraId="1AF056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22BEAE4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529A28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381DF04F">
        <w:tblPrEx>
          <w:tblCellMar>
            <w:top w:w="0" w:type="dxa"/>
            <w:left w:w="108" w:type="dxa"/>
            <w:bottom w:w="0" w:type="dxa"/>
            <w:right w:w="108" w:type="dxa"/>
          </w:tblCellMar>
        </w:tblPrEx>
        <w:trPr>
          <w:gridAfter w:val="1"/>
          <w:wAfter w:w="53" w:type="pct"/>
          <w:trHeight w:val="254"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91671C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菜品</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质量</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（12分）</w:t>
            </w:r>
          </w:p>
        </w:tc>
        <w:tc>
          <w:tcPr>
            <w:tcW w:w="3221" w:type="pct"/>
            <w:tcBorders>
              <w:top w:val="nil"/>
              <w:left w:val="nil"/>
              <w:bottom w:val="single" w:color="auto" w:sz="4" w:space="0"/>
              <w:right w:val="single" w:color="auto" w:sz="4" w:space="0"/>
            </w:tcBorders>
            <w:shd w:val="clear" w:color="auto" w:fill="auto"/>
            <w:vAlign w:val="center"/>
          </w:tcPr>
          <w:p w14:paraId="1DDE8B0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菜单品种多样，保证每月菜谱主菜不重样。</w:t>
            </w:r>
          </w:p>
        </w:tc>
        <w:tc>
          <w:tcPr>
            <w:tcW w:w="344" w:type="pct"/>
            <w:tcBorders>
              <w:top w:val="nil"/>
              <w:left w:val="nil"/>
              <w:bottom w:val="single" w:color="auto" w:sz="4" w:space="0"/>
              <w:right w:val="single" w:color="auto" w:sz="4" w:space="0"/>
            </w:tcBorders>
            <w:shd w:val="clear" w:color="auto" w:fill="auto"/>
            <w:vAlign w:val="center"/>
          </w:tcPr>
          <w:p w14:paraId="5076347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restart"/>
            <w:tcBorders>
              <w:top w:val="nil"/>
              <w:left w:val="single" w:color="auto" w:sz="4" w:space="0"/>
              <w:bottom w:val="single" w:color="auto" w:sz="4" w:space="0"/>
              <w:right w:val="single" w:color="auto" w:sz="4" w:space="0"/>
            </w:tcBorders>
            <w:shd w:val="clear" w:color="auto" w:fill="auto"/>
            <w:vAlign w:val="center"/>
          </w:tcPr>
          <w:p w14:paraId="118575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26E87C2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012E3CF">
        <w:tblPrEx>
          <w:tblCellMar>
            <w:top w:w="0" w:type="dxa"/>
            <w:left w:w="108" w:type="dxa"/>
            <w:bottom w:w="0" w:type="dxa"/>
            <w:right w:w="108" w:type="dxa"/>
          </w:tblCellMar>
        </w:tblPrEx>
        <w:trPr>
          <w:gridAfter w:val="1"/>
          <w:wAfter w:w="53" w:type="pct"/>
          <w:trHeight w:val="687"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752DC3C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69E9402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三餐菜品荤素营养搭配合理，饭菜味道咸淡适中，符合大众口味，不能出现菜肴断档供应的情况。</w:t>
            </w:r>
          </w:p>
        </w:tc>
        <w:tc>
          <w:tcPr>
            <w:tcW w:w="344" w:type="pct"/>
            <w:tcBorders>
              <w:top w:val="nil"/>
              <w:left w:val="nil"/>
              <w:bottom w:val="single" w:color="auto" w:sz="4" w:space="0"/>
              <w:right w:val="single" w:color="auto" w:sz="4" w:space="0"/>
            </w:tcBorders>
            <w:shd w:val="clear" w:color="auto" w:fill="auto"/>
            <w:vAlign w:val="center"/>
          </w:tcPr>
          <w:p w14:paraId="6AFB8F1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continue"/>
            <w:tcBorders>
              <w:top w:val="nil"/>
              <w:left w:val="single" w:color="auto" w:sz="4" w:space="0"/>
              <w:bottom w:val="single" w:color="auto" w:sz="4" w:space="0"/>
              <w:right w:val="single" w:color="auto" w:sz="4" w:space="0"/>
            </w:tcBorders>
            <w:vAlign w:val="center"/>
          </w:tcPr>
          <w:p w14:paraId="3CD6E26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2FA5B74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085EC0A9">
        <w:tblPrEx>
          <w:tblCellMar>
            <w:top w:w="0" w:type="dxa"/>
            <w:left w:w="108" w:type="dxa"/>
            <w:bottom w:w="0" w:type="dxa"/>
            <w:right w:w="108" w:type="dxa"/>
          </w:tblCellMar>
        </w:tblPrEx>
        <w:trPr>
          <w:gridAfter w:val="1"/>
          <w:wAfter w:w="53" w:type="pct"/>
          <w:trHeight w:val="71"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5FD04DC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2A73F56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三餐是否按照出餐时刻表进行出餐。</w:t>
            </w:r>
          </w:p>
        </w:tc>
        <w:tc>
          <w:tcPr>
            <w:tcW w:w="344" w:type="pct"/>
            <w:tcBorders>
              <w:top w:val="nil"/>
              <w:left w:val="nil"/>
              <w:bottom w:val="single" w:color="auto" w:sz="4" w:space="0"/>
              <w:right w:val="single" w:color="auto" w:sz="4" w:space="0"/>
            </w:tcBorders>
            <w:shd w:val="clear" w:color="auto" w:fill="auto"/>
            <w:vAlign w:val="center"/>
          </w:tcPr>
          <w:p w14:paraId="5C5EB4C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continue"/>
            <w:tcBorders>
              <w:top w:val="nil"/>
              <w:left w:val="single" w:color="auto" w:sz="4" w:space="0"/>
              <w:bottom w:val="single" w:color="auto" w:sz="4" w:space="0"/>
              <w:right w:val="single" w:color="auto" w:sz="4" w:space="0"/>
            </w:tcBorders>
            <w:vAlign w:val="center"/>
          </w:tcPr>
          <w:p w14:paraId="301728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5EE5800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4C63B6D">
        <w:tblPrEx>
          <w:tblCellMar>
            <w:top w:w="0" w:type="dxa"/>
            <w:left w:w="108" w:type="dxa"/>
            <w:bottom w:w="0" w:type="dxa"/>
            <w:right w:w="108" w:type="dxa"/>
          </w:tblCellMar>
        </w:tblPrEx>
        <w:trPr>
          <w:gridAfter w:val="1"/>
          <w:wAfter w:w="53" w:type="pct"/>
          <w:trHeight w:val="174"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68D0D0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成本</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控制</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（19分）</w:t>
            </w:r>
          </w:p>
        </w:tc>
        <w:tc>
          <w:tcPr>
            <w:tcW w:w="3221" w:type="pct"/>
            <w:tcBorders>
              <w:top w:val="nil"/>
              <w:left w:val="nil"/>
              <w:bottom w:val="single" w:color="auto" w:sz="4" w:space="0"/>
              <w:right w:val="single" w:color="auto" w:sz="4" w:space="0"/>
            </w:tcBorders>
            <w:shd w:val="clear" w:color="auto" w:fill="auto"/>
            <w:vAlign w:val="center"/>
          </w:tcPr>
          <w:p w14:paraId="34B1212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三餐菜品是否按照餐标制作。</w:t>
            </w:r>
          </w:p>
        </w:tc>
        <w:tc>
          <w:tcPr>
            <w:tcW w:w="344" w:type="pct"/>
            <w:tcBorders>
              <w:top w:val="nil"/>
              <w:left w:val="nil"/>
              <w:bottom w:val="single" w:color="auto" w:sz="4" w:space="0"/>
              <w:right w:val="single" w:color="auto" w:sz="4" w:space="0"/>
            </w:tcBorders>
            <w:shd w:val="clear" w:color="auto" w:fill="auto"/>
            <w:vAlign w:val="center"/>
          </w:tcPr>
          <w:p w14:paraId="6DEA66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w:t>
            </w:r>
          </w:p>
        </w:tc>
        <w:tc>
          <w:tcPr>
            <w:tcW w:w="344" w:type="pct"/>
            <w:vMerge w:val="restart"/>
            <w:tcBorders>
              <w:top w:val="nil"/>
              <w:left w:val="single" w:color="auto" w:sz="4" w:space="0"/>
              <w:bottom w:val="single" w:color="auto" w:sz="4" w:space="0"/>
              <w:right w:val="single" w:color="auto" w:sz="4" w:space="0"/>
            </w:tcBorders>
            <w:shd w:val="clear" w:color="auto" w:fill="auto"/>
            <w:noWrap/>
            <w:vAlign w:val="center"/>
          </w:tcPr>
          <w:p w14:paraId="78CE06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03D8B8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108FD3DC">
        <w:tblPrEx>
          <w:tblCellMar>
            <w:top w:w="0" w:type="dxa"/>
            <w:left w:w="108" w:type="dxa"/>
            <w:bottom w:w="0" w:type="dxa"/>
            <w:right w:w="108" w:type="dxa"/>
          </w:tblCellMar>
        </w:tblPrEx>
        <w:trPr>
          <w:gridAfter w:val="1"/>
          <w:wAfter w:w="53" w:type="pct"/>
          <w:trHeight w:val="122"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1869A1B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05A2F13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菜品的剩余浪费程度、低易品的使用情况。</w:t>
            </w:r>
          </w:p>
        </w:tc>
        <w:tc>
          <w:tcPr>
            <w:tcW w:w="344" w:type="pct"/>
            <w:tcBorders>
              <w:top w:val="nil"/>
              <w:left w:val="nil"/>
              <w:bottom w:val="single" w:color="auto" w:sz="4" w:space="0"/>
              <w:right w:val="single" w:color="auto" w:sz="4" w:space="0"/>
            </w:tcBorders>
            <w:shd w:val="clear" w:color="auto" w:fill="auto"/>
            <w:noWrap/>
            <w:vAlign w:val="center"/>
          </w:tcPr>
          <w:p w14:paraId="31532F8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8</w:t>
            </w:r>
          </w:p>
        </w:tc>
        <w:tc>
          <w:tcPr>
            <w:tcW w:w="344" w:type="pct"/>
            <w:vMerge w:val="continue"/>
            <w:tcBorders>
              <w:top w:val="nil"/>
              <w:left w:val="single" w:color="auto" w:sz="4" w:space="0"/>
              <w:bottom w:val="single" w:color="auto" w:sz="4" w:space="0"/>
              <w:right w:val="single" w:color="auto" w:sz="4" w:space="0"/>
            </w:tcBorders>
            <w:vAlign w:val="center"/>
          </w:tcPr>
          <w:p w14:paraId="306224F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F40DF6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745BE149">
        <w:tblPrEx>
          <w:tblCellMar>
            <w:top w:w="0" w:type="dxa"/>
            <w:left w:w="108" w:type="dxa"/>
            <w:bottom w:w="0" w:type="dxa"/>
            <w:right w:w="108" w:type="dxa"/>
          </w:tblCellMar>
        </w:tblPrEx>
        <w:trPr>
          <w:gridAfter w:val="1"/>
          <w:wAfter w:w="53" w:type="pct"/>
          <w:trHeight w:val="84"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7891904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57D080B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每月合理控制成本与收入。</w:t>
            </w:r>
          </w:p>
        </w:tc>
        <w:tc>
          <w:tcPr>
            <w:tcW w:w="344" w:type="pct"/>
            <w:tcBorders>
              <w:top w:val="nil"/>
              <w:left w:val="nil"/>
              <w:bottom w:val="single" w:color="auto" w:sz="4" w:space="0"/>
              <w:right w:val="single" w:color="auto" w:sz="4" w:space="0"/>
            </w:tcBorders>
            <w:shd w:val="clear" w:color="auto" w:fill="auto"/>
            <w:noWrap/>
            <w:vAlign w:val="center"/>
          </w:tcPr>
          <w:p w14:paraId="0BA0924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w:t>
            </w:r>
          </w:p>
        </w:tc>
        <w:tc>
          <w:tcPr>
            <w:tcW w:w="344" w:type="pct"/>
            <w:vMerge w:val="continue"/>
            <w:tcBorders>
              <w:top w:val="nil"/>
              <w:left w:val="single" w:color="auto" w:sz="4" w:space="0"/>
              <w:bottom w:val="single" w:color="auto" w:sz="4" w:space="0"/>
              <w:right w:val="single" w:color="auto" w:sz="4" w:space="0"/>
            </w:tcBorders>
            <w:vAlign w:val="center"/>
          </w:tcPr>
          <w:p w14:paraId="0D7BCA5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7CFF494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029537F">
        <w:tblPrEx>
          <w:tblCellMar>
            <w:top w:w="0" w:type="dxa"/>
            <w:left w:w="108" w:type="dxa"/>
            <w:bottom w:w="0" w:type="dxa"/>
            <w:right w:w="108" w:type="dxa"/>
          </w:tblCellMar>
        </w:tblPrEx>
        <w:trPr>
          <w:gridAfter w:val="1"/>
          <w:wAfter w:w="53" w:type="pct"/>
          <w:trHeight w:val="174"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AD3D51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制度</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规范</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（10分）</w:t>
            </w:r>
          </w:p>
        </w:tc>
        <w:tc>
          <w:tcPr>
            <w:tcW w:w="3221" w:type="pct"/>
            <w:tcBorders>
              <w:top w:val="nil"/>
              <w:left w:val="nil"/>
              <w:bottom w:val="single" w:color="auto" w:sz="4" w:space="0"/>
              <w:right w:val="single" w:color="auto" w:sz="4" w:space="0"/>
            </w:tcBorders>
            <w:shd w:val="clear" w:color="auto" w:fill="auto"/>
            <w:vAlign w:val="center"/>
          </w:tcPr>
          <w:p w14:paraId="10C3AD5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对于已有公示的制度落实执行情况。</w:t>
            </w:r>
          </w:p>
        </w:tc>
        <w:tc>
          <w:tcPr>
            <w:tcW w:w="344" w:type="pct"/>
            <w:tcBorders>
              <w:top w:val="nil"/>
              <w:left w:val="nil"/>
              <w:bottom w:val="single" w:color="auto" w:sz="4" w:space="0"/>
              <w:right w:val="single" w:color="auto" w:sz="4" w:space="0"/>
            </w:tcBorders>
            <w:shd w:val="clear" w:color="auto" w:fill="auto"/>
            <w:noWrap/>
            <w:vAlign w:val="center"/>
          </w:tcPr>
          <w:p w14:paraId="1136AC7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w:t>
            </w:r>
          </w:p>
        </w:tc>
        <w:tc>
          <w:tcPr>
            <w:tcW w:w="344" w:type="pct"/>
            <w:vMerge w:val="restart"/>
            <w:tcBorders>
              <w:top w:val="nil"/>
              <w:left w:val="single" w:color="auto" w:sz="4" w:space="0"/>
              <w:bottom w:val="single" w:color="auto" w:sz="4" w:space="0"/>
              <w:right w:val="single" w:color="auto" w:sz="4" w:space="0"/>
            </w:tcBorders>
            <w:shd w:val="clear" w:color="auto" w:fill="auto"/>
            <w:noWrap/>
            <w:vAlign w:val="center"/>
          </w:tcPr>
          <w:p w14:paraId="7DD000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7DD330B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003ABBE0">
        <w:tblPrEx>
          <w:tblCellMar>
            <w:top w:w="0" w:type="dxa"/>
            <w:left w:w="108" w:type="dxa"/>
            <w:bottom w:w="0" w:type="dxa"/>
            <w:right w:w="108" w:type="dxa"/>
          </w:tblCellMar>
        </w:tblPrEx>
        <w:trPr>
          <w:gridAfter w:val="1"/>
          <w:wAfter w:w="53" w:type="pct"/>
          <w:trHeight w:val="136"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1378EDA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3D9B44B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员工日常专业、服务以及食品卫生安全等方面培训。</w:t>
            </w:r>
          </w:p>
        </w:tc>
        <w:tc>
          <w:tcPr>
            <w:tcW w:w="344" w:type="pct"/>
            <w:tcBorders>
              <w:top w:val="nil"/>
              <w:left w:val="nil"/>
              <w:bottom w:val="single" w:color="auto" w:sz="4" w:space="0"/>
              <w:right w:val="single" w:color="auto" w:sz="4" w:space="0"/>
            </w:tcBorders>
            <w:shd w:val="clear" w:color="auto" w:fill="auto"/>
            <w:noWrap/>
            <w:vAlign w:val="center"/>
          </w:tcPr>
          <w:p w14:paraId="37E2FAF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627328F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5363F4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608D8A00">
        <w:tblPrEx>
          <w:tblCellMar>
            <w:top w:w="0" w:type="dxa"/>
            <w:left w:w="108" w:type="dxa"/>
            <w:bottom w:w="0" w:type="dxa"/>
            <w:right w:w="108" w:type="dxa"/>
          </w:tblCellMar>
        </w:tblPrEx>
        <w:trPr>
          <w:gridAfter w:val="1"/>
          <w:wAfter w:w="53" w:type="pct"/>
          <w:trHeight w:val="84"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0119EEE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03AB95E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工作时间不擅自离岗、不闲谈、不做与工作无关的事情。</w:t>
            </w:r>
          </w:p>
        </w:tc>
        <w:tc>
          <w:tcPr>
            <w:tcW w:w="344" w:type="pct"/>
            <w:tcBorders>
              <w:top w:val="nil"/>
              <w:left w:val="nil"/>
              <w:bottom w:val="single" w:color="auto" w:sz="4" w:space="0"/>
              <w:right w:val="single" w:color="auto" w:sz="4" w:space="0"/>
            </w:tcBorders>
            <w:shd w:val="clear" w:color="auto" w:fill="auto"/>
            <w:noWrap/>
            <w:vAlign w:val="center"/>
          </w:tcPr>
          <w:p w14:paraId="316E3D5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546F9D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02CDB16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637091D">
        <w:tblPrEx>
          <w:tblCellMar>
            <w:top w:w="0" w:type="dxa"/>
            <w:left w:w="108" w:type="dxa"/>
            <w:bottom w:w="0" w:type="dxa"/>
            <w:right w:w="108" w:type="dxa"/>
          </w:tblCellMar>
        </w:tblPrEx>
        <w:trPr>
          <w:gridAfter w:val="1"/>
          <w:wAfter w:w="53" w:type="pct"/>
          <w:trHeight w:val="57" w:hRule="atLeast"/>
        </w:trPr>
        <w:tc>
          <w:tcPr>
            <w:tcW w:w="5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8AC578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项目</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管理</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人员</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（9分）</w:t>
            </w:r>
          </w:p>
        </w:tc>
        <w:tc>
          <w:tcPr>
            <w:tcW w:w="3221" w:type="pct"/>
            <w:tcBorders>
              <w:top w:val="nil"/>
              <w:left w:val="nil"/>
              <w:bottom w:val="single" w:color="auto" w:sz="4" w:space="0"/>
              <w:right w:val="single" w:color="auto" w:sz="4" w:space="0"/>
            </w:tcBorders>
            <w:shd w:val="clear" w:color="auto" w:fill="auto"/>
            <w:vAlign w:val="center"/>
          </w:tcPr>
          <w:p w14:paraId="47F8B60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有极强的责任心，正确理解上级的意图和要求，定期沟通意见。</w:t>
            </w:r>
          </w:p>
        </w:tc>
        <w:tc>
          <w:tcPr>
            <w:tcW w:w="344" w:type="pct"/>
            <w:tcBorders>
              <w:top w:val="nil"/>
              <w:left w:val="nil"/>
              <w:bottom w:val="single" w:color="auto" w:sz="4" w:space="0"/>
              <w:right w:val="single" w:color="auto" w:sz="4" w:space="0"/>
            </w:tcBorders>
            <w:shd w:val="clear" w:color="auto" w:fill="auto"/>
            <w:noWrap/>
            <w:vAlign w:val="center"/>
          </w:tcPr>
          <w:p w14:paraId="6F275F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restart"/>
            <w:tcBorders>
              <w:top w:val="nil"/>
              <w:left w:val="single" w:color="auto" w:sz="4" w:space="0"/>
              <w:bottom w:val="single" w:color="auto" w:sz="4" w:space="0"/>
              <w:right w:val="single" w:color="auto" w:sz="4" w:space="0"/>
            </w:tcBorders>
            <w:shd w:val="clear" w:color="auto" w:fill="auto"/>
            <w:noWrap/>
            <w:vAlign w:val="center"/>
          </w:tcPr>
          <w:p w14:paraId="6274167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60B3FE1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A9B5A11">
        <w:tblPrEx>
          <w:tblCellMar>
            <w:top w:w="0" w:type="dxa"/>
            <w:left w:w="108" w:type="dxa"/>
            <w:bottom w:w="0" w:type="dxa"/>
            <w:right w:w="108" w:type="dxa"/>
          </w:tblCellMar>
        </w:tblPrEx>
        <w:trPr>
          <w:gridAfter w:val="1"/>
          <w:wAfter w:w="53" w:type="pct"/>
          <w:trHeight w:val="56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6C7B80D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23AF067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对上级安排的任务总是能积极执行，创造性地按时或提前完成并及时反馈。</w:t>
            </w:r>
          </w:p>
        </w:tc>
        <w:tc>
          <w:tcPr>
            <w:tcW w:w="344" w:type="pct"/>
            <w:tcBorders>
              <w:top w:val="nil"/>
              <w:left w:val="nil"/>
              <w:bottom w:val="single" w:color="auto" w:sz="4" w:space="0"/>
              <w:right w:val="single" w:color="auto" w:sz="4" w:space="0"/>
            </w:tcBorders>
            <w:shd w:val="clear" w:color="auto" w:fill="auto"/>
            <w:noWrap/>
            <w:vAlign w:val="center"/>
          </w:tcPr>
          <w:p w14:paraId="11CF428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389F99C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6D0307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B1CC547">
        <w:tblPrEx>
          <w:tblCellMar>
            <w:top w:w="0" w:type="dxa"/>
            <w:left w:w="108" w:type="dxa"/>
            <w:bottom w:w="0" w:type="dxa"/>
            <w:right w:w="108" w:type="dxa"/>
          </w:tblCellMar>
        </w:tblPrEx>
        <w:trPr>
          <w:gridAfter w:val="1"/>
          <w:wAfter w:w="53" w:type="pct"/>
          <w:trHeight w:val="568" w:hRule="atLeast"/>
        </w:trPr>
        <w:tc>
          <w:tcPr>
            <w:tcW w:w="554" w:type="pct"/>
            <w:gridSpan w:val="2"/>
            <w:vMerge w:val="continue"/>
            <w:tcBorders>
              <w:top w:val="nil"/>
              <w:left w:val="single" w:color="auto" w:sz="4" w:space="0"/>
              <w:bottom w:val="single" w:color="auto" w:sz="4" w:space="0"/>
              <w:right w:val="single" w:color="auto" w:sz="4" w:space="0"/>
            </w:tcBorders>
            <w:vAlign w:val="center"/>
          </w:tcPr>
          <w:p w14:paraId="0E1A9E4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000000"/>
                <w:kern w:val="0"/>
                <w:sz w:val="21"/>
                <w:szCs w:val="21"/>
              </w:rPr>
            </w:pPr>
          </w:p>
        </w:tc>
        <w:tc>
          <w:tcPr>
            <w:tcW w:w="3221" w:type="pct"/>
            <w:tcBorders>
              <w:top w:val="nil"/>
              <w:left w:val="nil"/>
              <w:bottom w:val="single" w:color="auto" w:sz="4" w:space="0"/>
              <w:right w:val="single" w:color="auto" w:sz="4" w:space="0"/>
            </w:tcBorders>
            <w:shd w:val="clear" w:color="auto" w:fill="auto"/>
            <w:vAlign w:val="center"/>
          </w:tcPr>
          <w:p w14:paraId="4BDF668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对于工作中的问题能够及时改进和总结，能规避同样的错误，且能举一反三。</w:t>
            </w:r>
          </w:p>
        </w:tc>
        <w:tc>
          <w:tcPr>
            <w:tcW w:w="344" w:type="pct"/>
            <w:tcBorders>
              <w:top w:val="nil"/>
              <w:left w:val="nil"/>
              <w:bottom w:val="single" w:color="auto" w:sz="4" w:space="0"/>
              <w:right w:val="single" w:color="auto" w:sz="4" w:space="0"/>
            </w:tcBorders>
            <w:shd w:val="clear" w:color="auto" w:fill="auto"/>
            <w:noWrap/>
            <w:vAlign w:val="center"/>
          </w:tcPr>
          <w:p w14:paraId="6C2190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p>
        </w:tc>
        <w:tc>
          <w:tcPr>
            <w:tcW w:w="344" w:type="pct"/>
            <w:vMerge w:val="continue"/>
            <w:tcBorders>
              <w:top w:val="nil"/>
              <w:left w:val="single" w:color="auto" w:sz="4" w:space="0"/>
              <w:bottom w:val="single" w:color="auto" w:sz="4" w:space="0"/>
              <w:right w:val="single" w:color="auto" w:sz="4" w:space="0"/>
            </w:tcBorders>
            <w:vAlign w:val="center"/>
          </w:tcPr>
          <w:p w14:paraId="0BDF182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5BD0C40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4F660D9B">
        <w:tblPrEx>
          <w:tblCellMar>
            <w:top w:w="0" w:type="dxa"/>
            <w:left w:w="108" w:type="dxa"/>
            <w:bottom w:w="0" w:type="dxa"/>
            <w:right w:w="108" w:type="dxa"/>
          </w:tblCellMar>
        </w:tblPrEx>
        <w:trPr>
          <w:gridAfter w:val="1"/>
          <w:wAfter w:w="53" w:type="pct"/>
          <w:trHeight w:val="400" w:hRule="atLeast"/>
        </w:trPr>
        <w:tc>
          <w:tcPr>
            <w:tcW w:w="554" w:type="pct"/>
            <w:gridSpan w:val="2"/>
            <w:tcBorders>
              <w:top w:val="nil"/>
              <w:left w:val="single" w:color="auto" w:sz="4" w:space="0"/>
              <w:bottom w:val="single" w:color="auto" w:sz="4" w:space="0"/>
              <w:right w:val="single" w:color="auto" w:sz="4" w:space="0"/>
            </w:tcBorders>
            <w:shd w:val="clear" w:color="auto" w:fill="auto"/>
            <w:vAlign w:val="center"/>
          </w:tcPr>
          <w:p w14:paraId="1CF2DFD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bCs/>
                <w:color w:val="FF0000"/>
                <w:kern w:val="0"/>
                <w:sz w:val="21"/>
                <w:szCs w:val="21"/>
              </w:rPr>
            </w:pPr>
            <w:r>
              <w:rPr>
                <w:rFonts w:hint="eastAsia" w:ascii="宋体" w:hAnsi="宋体" w:cs="宋体"/>
                <w:b/>
                <w:bCs/>
                <w:color w:val="FF0000"/>
                <w:kern w:val="0"/>
                <w:sz w:val="21"/>
                <w:szCs w:val="21"/>
              </w:rPr>
              <w:t>　</w:t>
            </w:r>
          </w:p>
        </w:tc>
        <w:tc>
          <w:tcPr>
            <w:tcW w:w="3221" w:type="pct"/>
            <w:tcBorders>
              <w:top w:val="nil"/>
              <w:left w:val="nil"/>
              <w:bottom w:val="single" w:color="auto" w:sz="4" w:space="0"/>
              <w:right w:val="single" w:color="auto" w:sz="4" w:space="0"/>
            </w:tcBorders>
            <w:shd w:val="clear" w:color="auto" w:fill="auto"/>
            <w:vAlign w:val="center"/>
          </w:tcPr>
          <w:p w14:paraId="2D548D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最终得分</w:t>
            </w:r>
          </w:p>
        </w:tc>
        <w:tc>
          <w:tcPr>
            <w:tcW w:w="344" w:type="pct"/>
            <w:tcBorders>
              <w:top w:val="nil"/>
              <w:left w:val="nil"/>
              <w:bottom w:val="single" w:color="auto" w:sz="4" w:space="0"/>
              <w:right w:val="single" w:color="auto" w:sz="4" w:space="0"/>
            </w:tcBorders>
            <w:shd w:val="clear" w:color="auto" w:fill="auto"/>
            <w:vAlign w:val="center"/>
          </w:tcPr>
          <w:p w14:paraId="60210C9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100</w:t>
            </w:r>
          </w:p>
        </w:tc>
        <w:tc>
          <w:tcPr>
            <w:tcW w:w="344" w:type="pct"/>
            <w:tcBorders>
              <w:top w:val="nil"/>
              <w:left w:val="nil"/>
              <w:bottom w:val="single" w:color="auto" w:sz="4" w:space="0"/>
              <w:right w:val="single" w:color="auto" w:sz="4" w:space="0"/>
            </w:tcBorders>
            <w:shd w:val="clear" w:color="auto" w:fill="auto"/>
            <w:noWrap/>
            <w:vAlign w:val="center"/>
          </w:tcPr>
          <w:p w14:paraId="62D7B31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b/>
                <w:bCs/>
                <w:color w:val="000000"/>
                <w:kern w:val="0"/>
                <w:sz w:val="21"/>
                <w:szCs w:val="21"/>
              </w:rPr>
            </w:pPr>
          </w:p>
        </w:tc>
        <w:tc>
          <w:tcPr>
            <w:tcW w:w="484" w:type="pct"/>
            <w:tcBorders>
              <w:top w:val="nil"/>
              <w:left w:val="nil"/>
              <w:bottom w:val="single" w:color="auto" w:sz="4" w:space="0"/>
              <w:right w:val="single" w:color="auto" w:sz="4" w:space="0"/>
            </w:tcBorders>
            <w:shd w:val="clear" w:color="auto" w:fill="auto"/>
            <w:noWrap/>
            <w:vAlign w:val="center"/>
          </w:tcPr>
          <w:p w14:paraId="1C40889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14:paraId="2798DAA3">
        <w:tblPrEx>
          <w:tblCellMar>
            <w:top w:w="0" w:type="dxa"/>
            <w:left w:w="108" w:type="dxa"/>
            <w:bottom w:w="0" w:type="dxa"/>
            <w:right w:w="108" w:type="dxa"/>
          </w:tblCellMar>
        </w:tblPrEx>
        <w:trPr>
          <w:gridAfter w:val="1"/>
          <w:wAfter w:w="53" w:type="pct"/>
          <w:trHeight w:val="1405" w:hRule="atLeast"/>
        </w:trPr>
        <w:tc>
          <w:tcPr>
            <w:tcW w:w="4947" w:type="pct"/>
            <w:gridSpan w:val="6"/>
            <w:tcBorders>
              <w:top w:val="single" w:color="auto" w:sz="4" w:space="0"/>
              <w:left w:val="single" w:color="auto" w:sz="4" w:space="0"/>
              <w:bottom w:val="single" w:color="auto" w:sz="4" w:space="0"/>
              <w:right w:val="single" w:color="auto" w:sz="4" w:space="0"/>
            </w:tcBorders>
            <w:shd w:val="clear" w:color="auto" w:fill="auto"/>
          </w:tcPr>
          <w:p w14:paraId="53E9B99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中国机械科学研究总院集团有限公司将在考核结果通报后按照合同约定支付上一结算周期的月付部分餐饮管理服务费，具体</w:t>
            </w:r>
            <w:r>
              <w:rPr>
                <w:rFonts w:ascii="宋体" w:hAnsi="宋体" w:cs="宋体"/>
                <w:bCs/>
                <w:color w:val="000000"/>
                <w:kern w:val="0"/>
                <w:sz w:val="21"/>
                <w:szCs w:val="21"/>
              </w:rPr>
              <w:t>标准如下：</w:t>
            </w:r>
          </w:p>
          <w:p w14:paraId="390EEE7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1、月度考核分数为80分及以上支付全部月付部分餐饮管理服务费，正常支付管理费。</w:t>
            </w:r>
          </w:p>
          <w:p w14:paraId="238A838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2、月度考核分数为</w:t>
            </w:r>
            <w:r>
              <w:rPr>
                <w:rFonts w:ascii="宋体" w:hAnsi="宋体" w:cs="宋体"/>
                <w:bCs/>
                <w:color w:val="000000"/>
                <w:kern w:val="0"/>
                <w:sz w:val="21"/>
                <w:szCs w:val="21"/>
              </w:rPr>
              <w:t>70</w:t>
            </w:r>
            <w:r>
              <w:rPr>
                <w:rFonts w:hint="eastAsia" w:ascii="宋体" w:hAnsi="宋体" w:cs="宋体"/>
                <w:bCs/>
                <w:color w:val="000000"/>
                <w:kern w:val="0"/>
                <w:sz w:val="21"/>
                <w:szCs w:val="21"/>
              </w:rPr>
              <w:t>-</w:t>
            </w:r>
            <w:r>
              <w:rPr>
                <w:rFonts w:ascii="宋体" w:hAnsi="宋体" w:cs="宋体"/>
                <w:bCs/>
                <w:color w:val="000000"/>
                <w:kern w:val="0"/>
                <w:sz w:val="21"/>
                <w:szCs w:val="21"/>
              </w:rPr>
              <w:t>80</w:t>
            </w:r>
            <w:r>
              <w:rPr>
                <w:rFonts w:hint="eastAsia" w:ascii="宋体" w:hAnsi="宋体" w:cs="宋体"/>
                <w:bCs/>
                <w:color w:val="000000"/>
                <w:kern w:val="0"/>
                <w:sz w:val="21"/>
                <w:szCs w:val="21"/>
              </w:rPr>
              <w:t>（不含80分）扣减当月5%餐饮管理服务费，即支付9</w:t>
            </w:r>
            <w:r>
              <w:rPr>
                <w:rFonts w:ascii="宋体" w:hAnsi="宋体" w:cs="宋体"/>
                <w:bCs/>
                <w:color w:val="000000"/>
                <w:kern w:val="0"/>
                <w:sz w:val="21"/>
                <w:szCs w:val="21"/>
              </w:rPr>
              <w:t>5</w:t>
            </w:r>
            <w:r>
              <w:rPr>
                <w:rFonts w:hint="eastAsia" w:ascii="宋体" w:hAnsi="宋体" w:cs="宋体"/>
                <w:bCs/>
                <w:color w:val="000000"/>
                <w:kern w:val="0"/>
                <w:sz w:val="21"/>
                <w:szCs w:val="21"/>
              </w:rPr>
              <w:t>%餐饮管理服务费。</w:t>
            </w:r>
          </w:p>
          <w:p w14:paraId="066F51D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3、月度考核分数为6</w:t>
            </w:r>
            <w:r>
              <w:rPr>
                <w:rFonts w:ascii="宋体" w:hAnsi="宋体" w:cs="宋体"/>
                <w:bCs/>
                <w:color w:val="000000"/>
                <w:kern w:val="0"/>
                <w:sz w:val="21"/>
                <w:szCs w:val="21"/>
              </w:rPr>
              <w:t>0</w:t>
            </w:r>
            <w:r>
              <w:rPr>
                <w:rFonts w:hint="eastAsia" w:ascii="宋体" w:hAnsi="宋体" w:cs="宋体"/>
                <w:bCs/>
                <w:color w:val="000000"/>
                <w:kern w:val="0"/>
                <w:sz w:val="21"/>
                <w:szCs w:val="21"/>
              </w:rPr>
              <w:t>分-</w:t>
            </w:r>
            <w:r>
              <w:rPr>
                <w:rFonts w:ascii="宋体" w:hAnsi="宋体" w:cs="宋体"/>
                <w:bCs/>
                <w:color w:val="000000"/>
                <w:kern w:val="0"/>
                <w:sz w:val="21"/>
                <w:szCs w:val="21"/>
              </w:rPr>
              <w:t>70</w:t>
            </w:r>
            <w:r>
              <w:rPr>
                <w:rFonts w:hint="eastAsia" w:ascii="宋体" w:hAnsi="宋体" w:cs="宋体"/>
                <w:bCs/>
                <w:color w:val="000000"/>
                <w:kern w:val="0"/>
                <w:sz w:val="21"/>
                <w:szCs w:val="21"/>
              </w:rPr>
              <w:t>分（不含7</w:t>
            </w:r>
            <w:r>
              <w:rPr>
                <w:rFonts w:ascii="宋体" w:hAnsi="宋体" w:cs="宋体"/>
                <w:bCs/>
                <w:color w:val="000000"/>
                <w:kern w:val="0"/>
                <w:sz w:val="21"/>
                <w:szCs w:val="21"/>
              </w:rPr>
              <w:t>0</w:t>
            </w:r>
            <w:r>
              <w:rPr>
                <w:rFonts w:hint="eastAsia" w:ascii="宋体" w:hAnsi="宋体" w:cs="宋体"/>
                <w:bCs/>
                <w:color w:val="000000"/>
                <w:kern w:val="0"/>
                <w:sz w:val="21"/>
                <w:szCs w:val="21"/>
              </w:rPr>
              <w:t>分）扣减1</w:t>
            </w:r>
            <w:r>
              <w:rPr>
                <w:rFonts w:ascii="宋体" w:hAnsi="宋体" w:cs="宋体"/>
                <w:bCs/>
                <w:color w:val="000000"/>
                <w:kern w:val="0"/>
                <w:sz w:val="21"/>
                <w:szCs w:val="21"/>
              </w:rPr>
              <w:t>0</w:t>
            </w:r>
            <w:r>
              <w:rPr>
                <w:rFonts w:hint="eastAsia" w:ascii="宋体" w:hAnsi="宋体" w:cs="宋体"/>
                <w:bCs/>
                <w:color w:val="000000"/>
                <w:kern w:val="0"/>
                <w:sz w:val="21"/>
                <w:szCs w:val="21"/>
              </w:rPr>
              <w:t>%餐饮管理服务费，即支付9</w:t>
            </w:r>
            <w:r>
              <w:rPr>
                <w:rFonts w:ascii="宋体" w:hAnsi="宋体" w:cs="宋体"/>
                <w:bCs/>
                <w:color w:val="000000"/>
                <w:kern w:val="0"/>
                <w:sz w:val="21"/>
                <w:szCs w:val="21"/>
              </w:rPr>
              <w:t>0</w:t>
            </w:r>
            <w:r>
              <w:rPr>
                <w:rFonts w:hint="eastAsia" w:ascii="宋体" w:hAnsi="宋体" w:cs="宋体"/>
                <w:bCs/>
                <w:color w:val="000000"/>
                <w:kern w:val="0"/>
                <w:sz w:val="21"/>
                <w:szCs w:val="21"/>
              </w:rPr>
              <w:t>%餐饮管理服务费。</w:t>
            </w:r>
          </w:p>
          <w:p w14:paraId="6563A96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4、月度考核分数为6</w:t>
            </w:r>
            <w:r>
              <w:rPr>
                <w:rFonts w:ascii="宋体" w:hAnsi="宋体" w:cs="宋体"/>
                <w:bCs/>
                <w:color w:val="000000"/>
                <w:kern w:val="0"/>
                <w:sz w:val="21"/>
                <w:szCs w:val="21"/>
              </w:rPr>
              <w:t>0</w:t>
            </w:r>
            <w:r>
              <w:rPr>
                <w:rFonts w:hint="eastAsia" w:ascii="宋体" w:hAnsi="宋体" w:cs="宋体"/>
                <w:bCs/>
                <w:color w:val="000000"/>
                <w:kern w:val="0"/>
                <w:sz w:val="21"/>
                <w:szCs w:val="21"/>
              </w:rPr>
              <w:t>分以下，视为餐饮服务考核不合格，责令餐饮服务单位限期整改。视其整改情况决定餐饮管理服务费金额。限期整改合格的，扣减2</w:t>
            </w:r>
            <w:r>
              <w:rPr>
                <w:rFonts w:ascii="宋体" w:hAnsi="宋体" w:cs="宋体"/>
                <w:bCs/>
                <w:color w:val="000000"/>
                <w:kern w:val="0"/>
                <w:sz w:val="21"/>
                <w:szCs w:val="21"/>
              </w:rPr>
              <w:t>0</w:t>
            </w:r>
            <w:r>
              <w:rPr>
                <w:rFonts w:hint="eastAsia" w:ascii="宋体" w:hAnsi="宋体" w:cs="宋体"/>
                <w:bCs/>
                <w:color w:val="000000"/>
                <w:kern w:val="0"/>
                <w:sz w:val="21"/>
                <w:szCs w:val="21"/>
              </w:rPr>
              <w:t>%月度餐饮管理服务费，即支付8</w:t>
            </w:r>
            <w:r>
              <w:rPr>
                <w:rFonts w:ascii="宋体" w:hAnsi="宋体" w:cs="宋体"/>
                <w:bCs/>
                <w:color w:val="000000"/>
                <w:kern w:val="0"/>
                <w:sz w:val="21"/>
                <w:szCs w:val="21"/>
              </w:rPr>
              <w:t>0</w:t>
            </w:r>
            <w:r>
              <w:rPr>
                <w:rFonts w:hint="eastAsia" w:ascii="宋体" w:hAnsi="宋体" w:cs="宋体"/>
                <w:bCs/>
                <w:color w:val="000000"/>
                <w:kern w:val="0"/>
                <w:sz w:val="21"/>
                <w:szCs w:val="21"/>
              </w:rPr>
              <w:t>%餐饮管理服务费。</w:t>
            </w:r>
          </w:p>
          <w:p w14:paraId="0A446D4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6、凡餐饮服务单位连续两次考核7</w:t>
            </w:r>
            <w:r>
              <w:rPr>
                <w:rFonts w:ascii="宋体" w:hAnsi="宋体" w:cs="宋体"/>
                <w:bCs/>
                <w:color w:val="000000"/>
                <w:kern w:val="0"/>
                <w:sz w:val="21"/>
                <w:szCs w:val="21"/>
              </w:rPr>
              <w:t>0</w:t>
            </w:r>
            <w:r>
              <w:rPr>
                <w:rFonts w:hint="eastAsia" w:ascii="宋体" w:hAnsi="宋体" w:cs="宋体"/>
                <w:bCs/>
                <w:color w:val="000000"/>
                <w:kern w:val="0"/>
                <w:sz w:val="21"/>
                <w:szCs w:val="21"/>
              </w:rPr>
              <w:t>分及以下的，中国机械研究总院集团有限公司有权单方面终止合同，取消其餐饮服务资格。</w:t>
            </w:r>
          </w:p>
          <w:p w14:paraId="3309285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Cs/>
                <w:color w:val="000000"/>
                <w:kern w:val="0"/>
                <w:sz w:val="21"/>
                <w:szCs w:val="21"/>
              </w:rPr>
            </w:pPr>
            <w:r>
              <w:rPr>
                <w:rFonts w:hint="eastAsia" w:ascii="宋体" w:hAnsi="宋体" w:cs="宋体"/>
                <w:bCs/>
                <w:color w:val="000000"/>
                <w:kern w:val="0"/>
                <w:sz w:val="21"/>
                <w:szCs w:val="21"/>
              </w:rPr>
              <w:t>7、以上所有扣减费用均不再返还。</w:t>
            </w:r>
          </w:p>
        </w:tc>
      </w:tr>
      <w:tr w14:paraId="64005682">
        <w:tblPrEx>
          <w:tblCellMar>
            <w:top w:w="0" w:type="dxa"/>
            <w:left w:w="108" w:type="dxa"/>
            <w:bottom w:w="0" w:type="dxa"/>
            <w:right w:w="108" w:type="dxa"/>
          </w:tblCellMar>
        </w:tblPrEx>
        <w:trPr>
          <w:gridAfter w:val="1"/>
          <w:wAfter w:w="53" w:type="pct"/>
          <w:trHeight w:val="717" w:hRule="atLeast"/>
        </w:trPr>
        <w:tc>
          <w:tcPr>
            <w:tcW w:w="4947" w:type="pct"/>
            <w:gridSpan w:val="6"/>
            <w:tcBorders>
              <w:top w:val="nil"/>
              <w:left w:val="nil"/>
              <w:bottom w:val="nil"/>
              <w:right w:val="nil"/>
            </w:tcBorders>
            <w:shd w:val="clear" w:color="auto" w:fill="auto"/>
            <w:noWrap/>
            <w:vAlign w:val="center"/>
          </w:tcPr>
          <w:p w14:paraId="17606FE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kern w:val="0"/>
                <w:sz w:val="21"/>
                <w:szCs w:val="21"/>
              </w:rPr>
            </w:pPr>
            <w:r>
              <w:rPr>
                <w:rFonts w:hint="eastAsia" w:ascii="宋体" w:hAnsi="宋体" w:cs="宋体"/>
                <w:color w:val="000000"/>
                <w:kern w:val="0"/>
                <w:sz w:val="21"/>
                <w:szCs w:val="21"/>
              </w:rPr>
              <w:t>考核人：审核人：日期：</w:t>
            </w:r>
          </w:p>
        </w:tc>
      </w:tr>
    </w:tbl>
    <w:p w14:paraId="44FC30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仿宋_GB2312"/>
          <w:szCs w:val="21"/>
        </w:rPr>
        <w:sectPr>
          <w:pgSz w:w="11906" w:h="16838"/>
          <w:pgMar w:top="1440" w:right="1080" w:bottom="1440" w:left="1080" w:header="851" w:footer="992" w:gutter="0"/>
          <w:cols w:space="720" w:num="1"/>
          <w:docGrid w:linePitch="286" w:charSpace="0"/>
        </w:sectPr>
      </w:pPr>
    </w:p>
    <w:p w14:paraId="70E056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b/>
          <w:color w:val="000000"/>
          <w:sz w:val="24"/>
        </w:rPr>
      </w:pPr>
      <w:r>
        <w:rPr>
          <w:rFonts w:hint="eastAsia" w:ascii="宋体" w:hAnsi="宋体"/>
          <w:b/>
          <w:color w:val="000000"/>
          <w:sz w:val="24"/>
        </w:rPr>
        <w:t>附件四：餐饮管理费明细表</w:t>
      </w:r>
    </w:p>
    <w:tbl>
      <w:tblPr>
        <w:tblStyle w:val="26"/>
        <w:tblpPr w:leftFromText="180" w:rightFromText="180" w:vertAnchor="page" w:horzAnchor="page" w:tblpX="1431" w:tblpY="1996"/>
        <w:tblW w:w="5000" w:type="pct"/>
        <w:jc w:val="center"/>
        <w:tblLayout w:type="autofit"/>
        <w:tblCellMar>
          <w:top w:w="0" w:type="dxa"/>
          <w:left w:w="108" w:type="dxa"/>
          <w:bottom w:w="0" w:type="dxa"/>
          <w:right w:w="108" w:type="dxa"/>
        </w:tblCellMar>
      </w:tblPr>
      <w:tblGrid>
        <w:gridCol w:w="710"/>
        <w:gridCol w:w="1337"/>
        <w:gridCol w:w="818"/>
        <w:gridCol w:w="1002"/>
        <w:gridCol w:w="1153"/>
        <w:gridCol w:w="1002"/>
        <w:gridCol w:w="1033"/>
        <w:gridCol w:w="1198"/>
        <w:gridCol w:w="1033"/>
        <w:gridCol w:w="1062"/>
        <w:gridCol w:w="1612"/>
        <w:gridCol w:w="1002"/>
        <w:gridCol w:w="1212"/>
      </w:tblGrid>
      <w:tr w14:paraId="1D9AE3F6">
        <w:tblPrEx>
          <w:tblCellMar>
            <w:top w:w="0" w:type="dxa"/>
            <w:left w:w="108" w:type="dxa"/>
            <w:bottom w:w="0" w:type="dxa"/>
            <w:right w:w="108" w:type="dxa"/>
          </w:tblCellMar>
        </w:tblPrEx>
        <w:trPr>
          <w:trHeight w:val="810" w:hRule="atLeast"/>
          <w:jc w:val="center"/>
        </w:trPr>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7B6B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71" w:type="pct"/>
            <w:tcBorders>
              <w:top w:val="single" w:color="auto" w:sz="4" w:space="0"/>
              <w:left w:val="nil"/>
              <w:bottom w:val="single" w:color="auto" w:sz="4" w:space="0"/>
              <w:right w:val="single" w:color="auto" w:sz="4" w:space="0"/>
            </w:tcBorders>
            <w:shd w:val="clear" w:color="auto" w:fill="auto"/>
            <w:noWrap/>
            <w:vAlign w:val="center"/>
          </w:tcPr>
          <w:p w14:paraId="2D70FF2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岗位</w:t>
            </w:r>
          </w:p>
        </w:tc>
        <w:tc>
          <w:tcPr>
            <w:tcW w:w="288" w:type="pct"/>
            <w:tcBorders>
              <w:top w:val="single" w:color="auto" w:sz="4" w:space="0"/>
              <w:left w:val="nil"/>
              <w:bottom w:val="single" w:color="auto" w:sz="4" w:space="0"/>
              <w:right w:val="single" w:color="auto" w:sz="4" w:space="0"/>
            </w:tcBorders>
            <w:shd w:val="clear" w:color="auto" w:fill="auto"/>
            <w:noWrap/>
            <w:vAlign w:val="center"/>
          </w:tcPr>
          <w:p w14:paraId="62A03A3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人数</w:t>
            </w:r>
          </w:p>
        </w:tc>
        <w:tc>
          <w:tcPr>
            <w:tcW w:w="353" w:type="pct"/>
            <w:tcBorders>
              <w:top w:val="single" w:color="auto" w:sz="4" w:space="0"/>
              <w:left w:val="nil"/>
              <w:bottom w:val="single" w:color="auto" w:sz="4" w:space="0"/>
              <w:right w:val="single" w:color="auto" w:sz="4" w:space="0"/>
            </w:tcBorders>
            <w:shd w:val="clear" w:color="auto" w:fill="auto"/>
            <w:vAlign w:val="center"/>
          </w:tcPr>
          <w:p w14:paraId="0C2D62D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月人员工资标准(元)</w:t>
            </w:r>
          </w:p>
        </w:tc>
        <w:tc>
          <w:tcPr>
            <w:tcW w:w="406" w:type="pct"/>
            <w:tcBorders>
              <w:top w:val="single" w:color="auto" w:sz="4" w:space="0"/>
              <w:left w:val="nil"/>
              <w:bottom w:val="single" w:color="auto" w:sz="4" w:space="0"/>
              <w:right w:val="single" w:color="auto" w:sz="4" w:space="0"/>
            </w:tcBorders>
            <w:shd w:val="clear" w:color="auto" w:fill="auto"/>
            <w:vAlign w:val="center"/>
          </w:tcPr>
          <w:p w14:paraId="4DEA262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社保（元）</w:t>
            </w:r>
          </w:p>
        </w:tc>
        <w:tc>
          <w:tcPr>
            <w:tcW w:w="353" w:type="pct"/>
            <w:tcBorders>
              <w:top w:val="single" w:color="auto" w:sz="4" w:space="0"/>
              <w:left w:val="nil"/>
              <w:bottom w:val="single" w:color="auto" w:sz="4" w:space="0"/>
              <w:right w:val="single" w:color="auto" w:sz="4" w:space="0"/>
            </w:tcBorders>
            <w:shd w:val="clear" w:color="auto" w:fill="auto"/>
            <w:vAlign w:val="center"/>
          </w:tcPr>
          <w:p w14:paraId="03CF050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工会经费（元）</w:t>
            </w:r>
          </w:p>
        </w:tc>
        <w:tc>
          <w:tcPr>
            <w:tcW w:w="364" w:type="pct"/>
            <w:tcBorders>
              <w:top w:val="single" w:color="auto" w:sz="4" w:space="0"/>
              <w:left w:val="nil"/>
              <w:bottom w:val="single" w:color="auto" w:sz="4" w:space="0"/>
              <w:right w:val="single" w:color="auto" w:sz="4" w:space="0"/>
            </w:tcBorders>
            <w:shd w:val="clear" w:color="auto" w:fill="auto"/>
            <w:vAlign w:val="center"/>
          </w:tcPr>
          <w:p w14:paraId="141363A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残保金（元）</w:t>
            </w:r>
          </w:p>
        </w:tc>
        <w:tc>
          <w:tcPr>
            <w:tcW w:w="422" w:type="pct"/>
            <w:tcBorders>
              <w:top w:val="single" w:color="auto" w:sz="4" w:space="0"/>
              <w:left w:val="nil"/>
              <w:bottom w:val="single" w:color="auto" w:sz="4" w:space="0"/>
              <w:right w:val="single" w:color="auto" w:sz="4" w:space="0"/>
            </w:tcBorders>
            <w:shd w:val="clear" w:color="auto" w:fill="auto"/>
            <w:vAlign w:val="center"/>
          </w:tcPr>
          <w:p w14:paraId="47A56D8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劳保福利（元）</w:t>
            </w:r>
          </w:p>
        </w:tc>
        <w:tc>
          <w:tcPr>
            <w:tcW w:w="364" w:type="pct"/>
            <w:tcBorders>
              <w:top w:val="single" w:color="auto" w:sz="4" w:space="0"/>
              <w:left w:val="nil"/>
              <w:bottom w:val="single" w:color="auto" w:sz="4" w:space="0"/>
              <w:right w:val="single" w:color="auto" w:sz="4" w:space="0"/>
            </w:tcBorders>
            <w:shd w:val="clear" w:color="auto" w:fill="auto"/>
            <w:vAlign w:val="center"/>
          </w:tcPr>
          <w:p w14:paraId="7A646DD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工服、体检（元）</w:t>
            </w:r>
          </w:p>
        </w:tc>
        <w:tc>
          <w:tcPr>
            <w:tcW w:w="374" w:type="pct"/>
            <w:tcBorders>
              <w:top w:val="single" w:color="auto" w:sz="4" w:space="0"/>
              <w:left w:val="nil"/>
              <w:bottom w:val="single" w:color="auto" w:sz="4" w:space="0"/>
              <w:right w:val="single" w:color="auto" w:sz="4" w:space="0"/>
            </w:tcBorders>
            <w:shd w:val="clear" w:color="auto" w:fill="auto"/>
            <w:vAlign w:val="center"/>
          </w:tcPr>
          <w:p w14:paraId="5419489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住宿费用（元）</w:t>
            </w:r>
          </w:p>
        </w:tc>
        <w:tc>
          <w:tcPr>
            <w:tcW w:w="568" w:type="pct"/>
            <w:tcBorders>
              <w:top w:val="single" w:color="auto" w:sz="4" w:space="0"/>
              <w:left w:val="nil"/>
              <w:bottom w:val="single" w:color="auto" w:sz="4" w:space="0"/>
              <w:right w:val="single" w:color="auto" w:sz="4" w:space="0"/>
            </w:tcBorders>
            <w:shd w:val="clear" w:color="auto" w:fill="auto"/>
            <w:vAlign w:val="center"/>
          </w:tcPr>
          <w:p w14:paraId="1DB14F5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管理费（企业管理费、利润）（元）</w:t>
            </w:r>
          </w:p>
        </w:tc>
        <w:tc>
          <w:tcPr>
            <w:tcW w:w="353" w:type="pct"/>
            <w:tcBorders>
              <w:top w:val="single" w:color="auto" w:sz="4" w:space="0"/>
              <w:left w:val="nil"/>
              <w:bottom w:val="single" w:color="auto" w:sz="4" w:space="0"/>
              <w:right w:val="single" w:color="auto" w:sz="4" w:space="0"/>
            </w:tcBorders>
            <w:shd w:val="clear" w:color="auto" w:fill="auto"/>
            <w:vAlign w:val="center"/>
          </w:tcPr>
          <w:p w14:paraId="11901B2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税金（元）</w:t>
            </w:r>
          </w:p>
        </w:tc>
        <w:tc>
          <w:tcPr>
            <w:tcW w:w="427" w:type="pct"/>
            <w:tcBorders>
              <w:top w:val="single" w:color="auto" w:sz="4" w:space="0"/>
              <w:left w:val="nil"/>
              <w:bottom w:val="single" w:color="auto" w:sz="4" w:space="0"/>
              <w:right w:val="single" w:color="auto" w:sz="4" w:space="0"/>
            </w:tcBorders>
            <w:shd w:val="clear" w:color="auto" w:fill="auto"/>
            <w:vAlign w:val="center"/>
          </w:tcPr>
          <w:p w14:paraId="07D9C4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color w:val="000000"/>
                <w:kern w:val="0"/>
                <w:sz w:val="22"/>
                <w:szCs w:val="22"/>
              </w:rPr>
            </w:pPr>
            <w:r>
              <w:rPr>
                <w:rFonts w:hint="eastAsia" w:ascii="宋体" w:hAnsi="宋体" w:cs="宋体"/>
                <w:b/>
                <w:bCs/>
                <w:color w:val="000000"/>
                <w:kern w:val="0"/>
                <w:sz w:val="22"/>
                <w:szCs w:val="22"/>
              </w:rPr>
              <w:t>月岗位人均费用（元）</w:t>
            </w:r>
          </w:p>
        </w:tc>
      </w:tr>
      <w:tr w14:paraId="16DD1160">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489982D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1</w:t>
            </w:r>
          </w:p>
        </w:tc>
        <w:tc>
          <w:tcPr>
            <w:tcW w:w="471" w:type="pct"/>
            <w:tcBorders>
              <w:top w:val="nil"/>
              <w:left w:val="nil"/>
              <w:bottom w:val="single" w:color="auto" w:sz="4" w:space="0"/>
              <w:right w:val="single" w:color="auto" w:sz="4" w:space="0"/>
            </w:tcBorders>
            <w:shd w:val="clear" w:color="auto" w:fill="auto"/>
            <w:noWrap/>
            <w:vAlign w:val="center"/>
          </w:tcPr>
          <w:p w14:paraId="3592A92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项目经理</w:t>
            </w:r>
          </w:p>
        </w:tc>
        <w:tc>
          <w:tcPr>
            <w:tcW w:w="288" w:type="pct"/>
            <w:tcBorders>
              <w:top w:val="nil"/>
              <w:left w:val="nil"/>
              <w:bottom w:val="single" w:color="auto" w:sz="4" w:space="0"/>
              <w:right w:val="single" w:color="auto" w:sz="4" w:space="0"/>
            </w:tcBorders>
            <w:shd w:val="clear" w:color="auto" w:fill="auto"/>
            <w:noWrap/>
            <w:vAlign w:val="center"/>
          </w:tcPr>
          <w:p w14:paraId="6F2B119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1C6159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4B76EDD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3B9A497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69F00C8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64C366C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627F4B4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546DBE8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283D1B3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19A069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8B8E59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6AF38CBB">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28186F9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2</w:t>
            </w:r>
          </w:p>
        </w:tc>
        <w:tc>
          <w:tcPr>
            <w:tcW w:w="471" w:type="pct"/>
            <w:tcBorders>
              <w:top w:val="nil"/>
              <w:left w:val="nil"/>
              <w:bottom w:val="single" w:color="auto" w:sz="4" w:space="0"/>
              <w:right w:val="single" w:color="auto" w:sz="4" w:space="0"/>
            </w:tcBorders>
            <w:shd w:val="clear" w:color="auto" w:fill="auto"/>
            <w:noWrap/>
            <w:vAlign w:val="center"/>
          </w:tcPr>
          <w:p w14:paraId="1554F0E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厨师长</w:t>
            </w:r>
          </w:p>
        </w:tc>
        <w:tc>
          <w:tcPr>
            <w:tcW w:w="288" w:type="pct"/>
            <w:tcBorders>
              <w:top w:val="nil"/>
              <w:left w:val="nil"/>
              <w:bottom w:val="single" w:color="auto" w:sz="4" w:space="0"/>
              <w:right w:val="single" w:color="auto" w:sz="4" w:space="0"/>
            </w:tcBorders>
            <w:shd w:val="clear" w:color="auto" w:fill="auto"/>
            <w:noWrap/>
            <w:vAlign w:val="center"/>
          </w:tcPr>
          <w:p w14:paraId="4321A7B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7725ECC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1AD9B02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7092B00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4791954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2951A06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467454B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73533A4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1273EAF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34CC45F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6BF773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494E01D5">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1467F6D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3</w:t>
            </w:r>
          </w:p>
        </w:tc>
        <w:tc>
          <w:tcPr>
            <w:tcW w:w="471" w:type="pct"/>
            <w:tcBorders>
              <w:top w:val="nil"/>
              <w:left w:val="nil"/>
              <w:bottom w:val="single" w:color="auto" w:sz="4" w:space="0"/>
              <w:right w:val="single" w:color="auto" w:sz="4" w:space="0"/>
            </w:tcBorders>
            <w:shd w:val="clear" w:color="auto" w:fill="auto"/>
            <w:noWrap/>
            <w:vAlign w:val="center"/>
          </w:tcPr>
          <w:p w14:paraId="1546EA6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热菜厨师</w:t>
            </w:r>
          </w:p>
        </w:tc>
        <w:tc>
          <w:tcPr>
            <w:tcW w:w="288" w:type="pct"/>
            <w:tcBorders>
              <w:top w:val="nil"/>
              <w:left w:val="nil"/>
              <w:bottom w:val="single" w:color="auto" w:sz="4" w:space="0"/>
              <w:right w:val="single" w:color="auto" w:sz="4" w:space="0"/>
            </w:tcBorders>
            <w:shd w:val="clear" w:color="auto" w:fill="auto"/>
            <w:noWrap/>
            <w:vAlign w:val="center"/>
          </w:tcPr>
          <w:p w14:paraId="01861A0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6E8146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021AD85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691A994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5B2ECA4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71D7FF4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3129DDA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504B50A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4B822F5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189096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066816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101A95AD">
        <w:tblPrEx>
          <w:tblCellMar>
            <w:top w:w="0" w:type="dxa"/>
            <w:left w:w="108" w:type="dxa"/>
            <w:bottom w:w="0" w:type="dxa"/>
            <w:right w:w="108" w:type="dxa"/>
          </w:tblCellMar>
        </w:tblPrEx>
        <w:trPr>
          <w:trHeight w:val="270"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750F621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4</w:t>
            </w:r>
          </w:p>
        </w:tc>
        <w:tc>
          <w:tcPr>
            <w:tcW w:w="471" w:type="pct"/>
            <w:tcBorders>
              <w:top w:val="nil"/>
              <w:left w:val="nil"/>
              <w:bottom w:val="single" w:color="auto" w:sz="4" w:space="0"/>
              <w:right w:val="single" w:color="auto" w:sz="4" w:space="0"/>
            </w:tcBorders>
            <w:shd w:val="clear" w:color="auto" w:fill="auto"/>
            <w:noWrap/>
            <w:vAlign w:val="center"/>
          </w:tcPr>
          <w:p w14:paraId="23BC430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面点师</w:t>
            </w:r>
          </w:p>
        </w:tc>
        <w:tc>
          <w:tcPr>
            <w:tcW w:w="288" w:type="pct"/>
            <w:tcBorders>
              <w:top w:val="nil"/>
              <w:left w:val="nil"/>
              <w:bottom w:val="single" w:color="auto" w:sz="4" w:space="0"/>
              <w:right w:val="single" w:color="auto" w:sz="4" w:space="0"/>
            </w:tcBorders>
            <w:shd w:val="clear" w:color="auto" w:fill="auto"/>
            <w:noWrap/>
            <w:vAlign w:val="center"/>
          </w:tcPr>
          <w:p w14:paraId="1D40533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2CF7B3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042ACE8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DD3184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071CC90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3146911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23A26EC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5981722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2C98B06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0148F33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646EBD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0E1A340C">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145290A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5</w:t>
            </w:r>
          </w:p>
        </w:tc>
        <w:tc>
          <w:tcPr>
            <w:tcW w:w="471" w:type="pct"/>
            <w:tcBorders>
              <w:top w:val="nil"/>
              <w:left w:val="nil"/>
              <w:bottom w:val="single" w:color="auto" w:sz="4" w:space="0"/>
              <w:right w:val="single" w:color="auto" w:sz="4" w:space="0"/>
            </w:tcBorders>
            <w:shd w:val="clear" w:color="auto" w:fill="auto"/>
            <w:noWrap/>
            <w:vAlign w:val="center"/>
          </w:tcPr>
          <w:p w14:paraId="60D6AAB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冷荤主管</w:t>
            </w:r>
          </w:p>
        </w:tc>
        <w:tc>
          <w:tcPr>
            <w:tcW w:w="288" w:type="pct"/>
            <w:tcBorders>
              <w:top w:val="nil"/>
              <w:left w:val="nil"/>
              <w:bottom w:val="single" w:color="auto" w:sz="4" w:space="0"/>
              <w:right w:val="single" w:color="auto" w:sz="4" w:space="0"/>
            </w:tcBorders>
            <w:shd w:val="clear" w:color="auto" w:fill="auto"/>
            <w:noWrap/>
            <w:vAlign w:val="center"/>
          </w:tcPr>
          <w:p w14:paraId="74E463C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6D121D0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5FD936E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5323D6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61D81C8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6E4D07C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119090F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2F02FF9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09BDB1D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65AD986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90AC2D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1F349D55">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4D932AA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6</w:t>
            </w:r>
          </w:p>
        </w:tc>
        <w:tc>
          <w:tcPr>
            <w:tcW w:w="471" w:type="pct"/>
            <w:tcBorders>
              <w:top w:val="nil"/>
              <w:left w:val="nil"/>
              <w:bottom w:val="single" w:color="auto" w:sz="4" w:space="0"/>
              <w:right w:val="single" w:color="auto" w:sz="4" w:space="0"/>
            </w:tcBorders>
            <w:shd w:val="clear" w:color="auto" w:fill="auto"/>
            <w:noWrap/>
            <w:vAlign w:val="center"/>
          </w:tcPr>
          <w:p w14:paraId="75E19A9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切配</w:t>
            </w:r>
          </w:p>
        </w:tc>
        <w:tc>
          <w:tcPr>
            <w:tcW w:w="288" w:type="pct"/>
            <w:tcBorders>
              <w:top w:val="nil"/>
              <w:left w:val="nil"/>
              <w:bottom w:val="single" w:color="auto" w:sz="4" w:space="0"/>
              <w:right w:val="single" w:color="auto" w:sz="4" w:space="0"/>
            </w:tcBorders>
            <w:shd w:val="clear" w:color="auto" w:fill="auto"/>
            <w:noWrap/>
            <w:vAlign w:val="center"/>
          </w:tcPr>
          <w:p w14:paraId="44E4176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0514534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15A80FF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0AEDB01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2C9A1E6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1CA5948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24D9138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1BE9FB6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4DA1C00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DBE7FA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05C5575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00CB7C40">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4F4A1C1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7</w:t>
            </w:r>
          </w:p>
        </w:tc>
        <w:tc>
          <w:tcPr>
            <w:tcW w:w="471" w:type="pct"/>
            <w:tcBorders>
              <w:top w:val="nil"/>
              <w:left w:val="nil"/>
              <w:bottom w:val="single" w:color="auto" w:sz="4" w:space="0"/>
              <w:right w:val="single" w:color="auto" w:sz="4" w:space="0"/>
            </w:tcBorders>
            <w:shd w:val="clear" w:color="auto" w:fill="auto"/>
            <w:noWrap/>
            <w:vAlign w:val="center"/>
          </w:tcPr>
          <w:p w14:paraId="7D89772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风味厨师</w:t>
            </w:r>
          </w:p>
        </w:tc>
        <w:tc>
          <w:tcPr>
            <w:tcW w:w="288" w:type="pct"/>
            <w:tcBorders>
              <w:top w:val="nil"/>
              <w:left w:val="nil"/>
              <w:bottom w:val="single" w:color="auto" w:sz="4" w:space="0"/>
              <w:right w:val="single" w:color="auto" w:sz="4" w:space="0"/>
            </w:tcBorders>
            <w:shd w:val="clear" w:color="auto" w:fill="auto"/>
            <w:noWrap/>
            <w:vAlign w:val="center"/>
          </w:tcPr>
          <w:p w14:paraId="73D535A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05A040D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09BC0E3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7D205A7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2CF9B33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7CD7D4E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305814E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1E6EEBD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46BE014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5400E99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7B25A1C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14D9A086">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6ABCCC4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8</w:t>
            </w:r>
          </w:p>
        </w:tc>
        <w:tc>
          <w:tcPr>
            <w:tcW w:w="471" w:type="pct"/>
            <w:tcBorders>
              <w:top w:val="nil"/>
              <w:left w:val="nil"/>
              <w:bottom w:val="single" w:color="auto" w:sz="4" w:space="0"/>
              <w:right w:val="single" w:color="auto" w:sz="4" w:space="0"/>
            </w:tcBorders>
            <w:shd w:val="clear" w:color="auto" w:fill="auto"/>
            <w:vAlign w:val="center"/>
          </w:tcPr>
          <w:p w14:paraId="5B4E3DE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r>
              <w:rPr>
                <w:rFonts w:hint="eastAsia" w:ascii="宋体" w:hAnsi="宋体" w:cs="宋体"/>
                <w:kern w:val="0"/>
                <w:sz w:val="22"/>
                <w:szCs w:val="22"/>
              </w:rPr>
              <w:t>财务兼服务员</w:t>
            </w:r>
          </w:p>
        </w:tc>
        <w:tc>
          <w:tcPr>
            <w:tcW w:w="288" w:type="pct"/>
            <w:tcBorders>
              <w:top w:val="nil"/>
              <w:left w:val="nil"/>
              <w:bottom w:val="single" w:color="auto" w:sz="4" w:space="0"/>
              <w:right w:val="single" w:color="auto" w:sz="4" w:space="0"/>
            </w:tcBorders>
            <w:shd w:val="clear" w:color="auto" w:fill="auto"/>
            <w:noWrap/>
            <w:vAlign w:val="center"/>
          </w:tcPr>
          <w:p w14:paraId="5359037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3B40B1F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7AD4210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3EF58C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1EF61FB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1C5003C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3AC9E8B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08A8078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64A445A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560B056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618649C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272C4A74">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42B5E61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9</w:t>
            </w:r>
          </w:p>
        </w:tc>
        <w:tc>
          <w:tcPr>
            <w:tcW w:w="471" w:type="pct"/>
            <w:tcBorders>
              <w:top w:val="nil"/>
              <w:left w:val="nil"/>
              <w:bottom w:val="single" w:color="auto" w:sz="4" w:space="0"/>
              <w:right w:val="single" w:color="auto" w:sz="4" w:space="0"/>
            </w:tcBorders>
            <w:shd w:val="clear" w:color="auto" w:fill="auto"/>
            <w:noWrap/>
            <w:vAlign w:val="center"/>
          </w:tcPr>
          <w:p w14:paraId="4DBA632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服务员</w:t>
            </w:r>
          </w:p>
        </w:tc>
        <w:tc>
          <w:tcPr>
            <w:tcW w:w="288" w:type="pct"/>
            <w:tcBorders>
              <w:top w:val="nil"/>
              <w:left w:val="nil"/>
              <w:bottom w:val="single" w:color="auto" w:sz="4" w:space="0"/>
              <w:right w:val="single" w:color="auto" w:sz="4" w:space="0"/>
            </w:tcBorders>
            <w:shd w:val="clear" w:color="auto" w:fill="auto"/>
            <w:noWrap/>
            <w:vAlign w:val="center"/>
          </w:tcPr>
          <w:p w14:paraId="0650702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7CE649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3418AA7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F1752B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4AE495A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0BBBD5C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4166117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2010035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405CA6C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4173C8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3EBE7919">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r w14:paraId="0C9868FD">
        <w:tblPrEx>
          <w:tblCellMar>
            <w:top w:w="0" w:type="dxa"/>
            <w:left w:w="108" w:type="dxa"/>
            <w:bottom w:w="0" w:type="dxa"/>
            <w:right w:w="108" w:type="dxa"/>
          </w:tblCellMar>
        </w:tblPrEx>
        <w:trPr>
          <w:trHeight w:val="285" w:hRule="atLeast"/>
          <w:jc w:val="center"/>
        </w:trPr>
        <w:tc>
          <w:tcPr>
            <w:tcW w:w="250" w:type="pct"/>
            <w:tcBorders>
              <w:top w:val="nil"/>
              <w:left w:val="single" w:color="auto" w:sz="4" w:space="0"/>
              <w:bottom w:val="single" w:color="auto" w:sz="4" w:space="0"/>
              <w:right w:val="single" w:color="auto" w:sz="4" w:space="0"/>
            </w:tcBorders>
            <w:shd w:val="clear" w:color="auto" w:fill="auto"/>
            <w:noWrap/>
            <w:vAlign w:val="center"/>
          </w:tcPr>
          <w:p w14:paraId="113DB5C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10</w:t>
            </w:r>
          </w:p>
        </w:tc>
        <w:tc>
          <w:tcPr>
            <w:tcW w:w="471" w:type="pct"/>
            <w:tcBorders>
              <w:top w:val="nil"/>
              <w:left w:val="nil"/>
              <w:bottom w:val="single" w:color="auto" w:sz="4" w:space="0"/>
              <w:right w:val="single" w:color="auto" w:sz="4" w:space="0"/>
            </w:tcBorders>
            <w:shd w:val="clear" w:color="auto" w:fill="auto"/>
            <w:noWrap/>
            <w:vAlign w:val="center"/>
          </w:tcPr>
          <w:p w14:paraId="492039B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r>
              <w:rPr>
                <w:rFonts w:hint="eastAsia" w:ascii="宋体" w:hAnsi="宋体" w:cs="宋体"/>
                <w:color w:val="000000"/>
                <w:kern w:val="0"/>
                <w:sz w:val="22"/>
                <w:szCs w:val="22"/>
              </w:rPr>
              <w:t>洗消、保洁</w:t>
            </w:r>
          </w:p>
        </w:tc>
        <w:tc>
          <w:tcPr>
            <w:tcW w:w="288" w:type="pct"/>
            <w:tcBorders>
              <w:top w:val="nil"/>
              <w:left w:val="nil"/>
              <w:bottom w:val="single" w:color="auto" w:sz="4" w:space="0"/>
              <w:right w:val="single" w:color="auto" w:sz="4" w:space="0"/>
            </w:tcBorders>
            <w:shd w:val="clear" w:color="auto" w:fill="auto"/>
            <w:noWrap/>
            <w:vAlign w:val="center"/>
          </w:tcPr>
          <w:p w14:paraId="0C431AE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65532EF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06" w:type="pct"/>
            <w:tcBorders>
              <w:top w:val="nil"/>
              <w:left w:val="nil"/>
              <w:bottom w:val="single" w:color="auto" w:sz="4" w:space="0"/>
              <w:right w:val="single" w:color="auto" w:sz="4" w:space="0"/>
            </w:tcBorders>
            <w:shd w:val="clear" w:color="auto" w:fill="auto"/>
            <w:noWrap/>
            <w:vAlign w:val="center"/>
          </w:tcPr>
          <w:p w14:paraId="02042D6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4AA5A24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085BBE9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2" w:type="pct"/>
            <w:tcBorders>
              <w:top w:val="nil"/>
              <w:left w:val="nil"/>
              <w:bottom w:val="single" w:color="auto" w:sz="4" w:space="0"/>
              <w:right w:val="single" w:color="auto" w:sz="4" w:space="0"/>
            </w:tcBorders>
            <w:shd w:val="clear" w:color="auto" w:fill="auto"/>
            <w:noWrap/>
            <w:vAlign w:val="center"/>
          </w:tcPr>
          <w:p w14:paraId="705AA94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64" w:type="pct"/>
            <w:tcBorders>
              <w:top w:val="nil"/>
              <w:left w:val="nil"/>
              <w:bottom w:val="single" w:color="auto" w:sz="4" w:space="0"/>
              <w:right w:val="single" w:color="auto" w:sz="4" w:space="0"/>
            </w:tcBorders>
            <w:shd w:val="clear" w:color="auto" w:fill="auto"/>
            <w:noWrap/>
            <w:vAlign w:val="center"/>
          </w:tcPr>
          <w:p w14:paraId="390EC35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74" w:type="pct"/>
            <w:tcBorders>
              <w:top w:val="nil"/>
              <w:left w:val="nil"/>
              <w:bottom w:val="single" w:color="auto" w:sz="4" w:space="0"/>
              <w:right w:val="single" w:color="auto" w:sz="4" w:space="0"/>
            </w:tcBorders>
            <w:shd w:val="clear" w:color="auto" w:fill="auto"/>
            <w:noWrap/>
            <w:vAlign w:val="center"/>
          </w:tcPr>
          <w:p w14:paraId="3FEB822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568" w:type="pct"/>
            <w:tcBorders>
              <w:top w:val="nil"/>
              <w:left w:val="nil"/>
              <w:bottom w:val="single" w:color="auto" w:sz="4" w:space="0"/>
              <w:right w:val="single" w:color="auto" w:sz="4" w:space="0"/>
            </w:tcBorders>
            <w:shd w:val="clear" w:color="auto" w:fill="auto"/>
            <w:noWrap/>
            <w:vAlign w:val="center"/>
          </w:tcPr>
          <w:p w14:paraId="50A9F58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noWrap/>
            <w:vAlign w:val="center"/>
          </w:tcPr>
          <w:p w14:paraId="1B43071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c>
          <w:tcPr>
            <w:tcW w:w="427" w:type="pct"/>
            <w:tcBorders>
              <w:top w:val="nil"/>
              <w:left w:val="nil"/>
              <w:bottom w:val="single" w:color="auto" w:sz="4" w:space="0"/>
              <w:right w:val="single" w:color="auto" w:sz="4" w:space="0"/>
            </w:tcBorders>
            <w:shd w:val="clear" w:color="auto" w:fill="auto"/>
            <w:noWrap/>
            <w:vAlign w:val="center"/>
          </w:tcPr>
          <w:p w14:paraId="1BE08AD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kern w:val="0"/>
                <w:sz w:val="22"/>
                <w:szCs w:val="22"/>
              </w:rPr>
            </w:pPr>
          </w:p>
        </w:tc>
      </w:tr>
    </w:tbl>
    <w:p w14:paraId="089A079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b/>
          <w:color w:val="000000"/>
          <w:sz w:val="24"/>
        </w:rPr>
      </w:pPr>
    </w:p>
    <w:sectPr>
      <w:pgSz w:w="16838" w:h="11906" w:orient="landscape"/>
      <w:pgMar w:top="1080" w:right="1440" w:bottom="1080" w:left="1440" w:header="851" w:footer="992" w:gutter="0"/>
      <w:cols w:space="720" w:num="1"/>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C90A38-7007-4C61-BB77-8A1842EBDE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30A838D1-66B6-4B56-B580-CADDDAF779EA}"/>
  </w:font>
  <w:font w:name="方正小标宋简体">
    <w:panose1 w:val="02000000000000000000"/>
    <w:charset w:val="86"/>
    <w:family w:val="auto"/>
    <w:pitch w:val="default"/>
    <w:sig w:usb0="00000001" w:usb1="080E0000" w:usb2="00000000" w:usb3="00000000" w:csb0="00040000" w:csb1="00000000"/>
    <w:embedRegular r:id="rId3" w:fontKey="{3FD2A0D1-F493-409F-BD55-A071ABFE9DFD}"/>
  </w:font>
  <w:font w:name="仿宋_GB2312">
    <w:panose1 w:val="02010609030101010101"/>
    <w:charset w:val="86"/>
    <w:family w:val="modern"/>
    <w:pitch w:val="default"/>
    <w:sig w:usb0="00000001" w:usb1="080E0000" w:usb2="00000000" w:usb3="00000000" w:csb0="00040000" w:csb1="00000000"/>
    <w:embedRegular r:id="rId4" w:fontKey="{AAB09042-CB5C-4CA2-9330-41D2C0D42EC5}"/>
  </w:font>
  <w:font w:name="华文楷体">
    <w:panose1 w:val="02010600040101010101"/>
    <w:charset w:val="86"/>
    <w:family w:val="auto"/>
    <w:pitch w:val="default"/>
    <w:sig w:usb0="00000287" w:usb1="080F0000" w:usb2="00000000" w:usb3="00000000" w:csb0="0004009F" w:csb1="DFD70000"/>
    <w:embedRegular r:id="rId5" w:fontKey="{DF5FA577-375D-4B0E-9EC6-B7D37F506B2C}"/>
  </w:font>
  <w:font w:name="楷体">
    <w:panose1 w:val="02010609060101010101"/>
    <w:charset w:val="86"/>
    <w:family w:val="modern"/>
    <w:pitch w:val="default"/>
    <w:sig w:usb0="800002BF" w:usb1="38CF7CFA" w:usb2="00000016" w:usb3="00000000" w:csb0="00040001" w:csb1="00000000"/>
    <w:embedRegular r:id="rId6" w:fontKey="{C57A7E92-DF00-4D69-8F76-0AB31D0CEA7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04D7">
    <w:pPr>
      <w:pStyle w:val="16"/>
      <w:jc w:val="center"/>
    </w:pPr>
    <w:r>
      <w:fldChar w:fldCharType="begin"/>
    </w:r>
    <w:r>
      <w:instrText xml:space="preserve"> PAGE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5A57">
    <w:pPr>
      <w:pStyle w:val="16"/>
      <w:jc w:val="center"/>
    </w:pPr>
    <w:r>
      <w:fldChar w:fldCharType="begin"/>
    </w:r>
    <w:r>
      <w:instrText xml:space="preserve"> PAGE Page \* MERGEFORMAT </w:instrText>
    </w:r>
    <w:r>
      <w:fldChar w:fldCharType="separate"/>
    </w:r>
    <w: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7344411"/>
    </w:sdtPr>
    <w:sdtContent>
      <w:p w14:paraId="62B7ED11">
        <w:pPr>
          <w:pStyle w:val="16"/>
          <w:jc w:val="center"/>
        </w:pPr>
        <w:r>
          <w:fldChar w:fldCharType="begin"/>
        </w:r>
        <w:r>
          <w:instrText xml:space="preserve">PAGE   \* MERGEFORMAT</w:instrText>
        </w:r>
        <w:r>
          <w:fldChar w:fldCharType="separate"/>
        </w:r>
        <w:r>
          <w:rPr>
            <w:lang w:val="zh-CN"/>
          </w:rPr>
          <w:t>37</w:t>
        </w:r>
        <w:r>
          <w:fldChar w:fldCharType="end"/>
        </w:r>
      </w:p>
    </w:sdtContent>
  </w:sdt>
  <w:p w14:paraId="7DB8CA72">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A7D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511"/>
        </w:tabs>
        <w:ind w:left="1511" w:hanging="720"/>
      </w:pPr>
    </w:lvl>
    <w:lvl w:ilvl="1" w:tentative="0">
      <w:start w:val="10"/>
      <w:numFmt w:val="japaneseCounting"/>
      <w:lvlText w:val="%2、"/>
      <w:lvlJc w:val="left"/>
      <w:pPr>
        <w:tabs>
          <w:tab w:val="left" w:pos="1166"/>
        </w:tabs>
        <w:ind w:left="1166" w:hanging="435"/>
      </w:pPr>
      <w:rPr>
        <w:lang w:val="en-US"/>
      </w:rPr>
    </w:lvl>
    <w:lvl w:ilvl="2" w:tentative="0">
      <w:start w:val="1"/>
      <w:numFmt w:val="decimal"/>
      <w:lvlText w:val="%3."/>
      <w:lvlJc w:val="left"/>
      <w:pPr>
        <w:tabs>
          <w:tab w:val="left" w:pos="2471"/>
        </w:tabs>
        <w:ind w:left="2471" w:hanging="360"/>
      </w:pPr>
    </w:lvl>
    <w:lvl w:ilvl="3" w:tentative="0">
      <w:start w:val="1"/>
      <w:numFmt w:val="decimal"/>
      <w:lvlText w:val="%4."/>
      <w:lvlJc w:val="left"/>
      <w:pPr>
        <w:tabs>
          <w:tab w:val="left" w:pos="3191"/>
        </w:tabs>
        <w:ind w:left="3191" w:hanging="360"/>
      </w:pPr>
    </w:lvl>
    <w:lvl w:ilvl="4" w:tentative="0">
      <w:start w:val="1"/>
      <w:numFmt w:val="decimal"/>
      <w:lvlText w:val="%5."/>
      <w:lvlJc w:val="left"/>
      <w:pPr>
        <w:tabs>
          <w:tab w:val="left" w:pos="3911"/>
        </w:tabs>
        <w:ind w:left="3911" w:hanging="360"/>
      </w:pPr>
    </w:lvl>
    <w:lvl w:ilvl="5" w:tentative="0">
      <w:start w:val="1"/>
      <w:numFmt w:val="decimal"/>
      <w:lvlText w:val="%6."/>
      <w:lvlJc w:val="left"/>
      <w:pPr>
        <w:tabs>
          <w:tab w:val="left" w:pos="4631"/>
        </w:tabs>
        <w:ind w:left="4631" w:hanging="360"/>
      </w:pPr>
    </w:lvl>
    <w:lvl w:ilvl="6" w:tentative="0">
      <w:start w:val="1"/>
      <w:numFmt w:val="decimal"/>
      <w:lvlText w:val="%7."/>
      <w:lvlJc w:val="left"/>
      <w:pPr>
        <w:tabs>
          <w:tab w:val="left" w:pos="5351"/>
        </w:tabs>
        <w:ind w:left="5351" w:hanging="360"/>
      </w:pPr>
    </w:lvl>
    <w:lvl w:ilvl="7" w:tentative="0">
      <w:start w:val="1"/>
      <w:numFmt w:val="decimal"/>
      <w:lvlText w:val="%8."/>
      <w:lvlJc w:val="left"/>
      <w:pPr>
        <w:tabs>
          <w:tab w:val="left" w:pos="6071"/>
        </w:tabs>
        <w:ind w:left="6071" w:hanging="360"/>
      </w:pPr>
    </w:lvl>
    <w:lvl w:ilvl="8" w:tentative="0">
      <w:start w:val="1"/>
      <w:numFmt w:val="decimal"/>
      <w:lvlText w:val="%9."/>
      <w:lvlJc w:val="left"/>
      <w:pPr>
        <w:tabs>
          <w:tab w:val="left" w:pos="6791"/>
        </w:tabs>
        <w:ind w:left="6791" w:hanging="36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chineseCountingThousand"/>
      <w:suff w:val="nothing"/>
      <w:lvlText w:val="第%1部分"/>
      <w:lvlJc w:val="center"/>
      <w:pPr>
        <w:ind w:left="0" w:firstLine="288"/>
      </w:pPr>
      <w:rPr>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0000022"/>
    <w:multiLevelType w:val="multilevel"/>
    <w:tmpl w:val="00000022"/>
    <w:lvl w:ilvl="0" w:tentative="0">
      <w:start w:val="1"/>
      <w:numFmt w:val="decimal"/>
      <w:lvlText w:val="%1."/>
      <w:lvlJc w:val="left"/>
      <w:pPr>
        <w:tabs>
          <w:tab w:val="left" w:pos="420"/>
        </w:tabs>
        <w:ind w:left="420" w:hanging="420"/>
      </w:pPr>
      <w:rPr>
        <w:rFonts w:ascii="宋体" w:hAnsi="宋体" w:eastAsia="宋体" w:cs="Times New Roman"/>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0A40CF"/>
    <w:multiLevelType w:val="multilevel"/>
    <w:tmpl w:val="030A40CF"/>
    <w:lvl w:ilvl="0" w:tentative="0">
      <w:start w:val="1"/>
      <w:numFmt w:val="japaneseCounting"/>
      <w:lvlText w:val="%1、"/>
      <w:lvlJc w:val="left"/>
      <w:pPr>
        <w:ind w:left="450" w:hanging="450"/>
      </w:pPr>
      <w:rPr>
        <w:b/>
        <w:strike w:val="0"/>
        <w:dstrike w:val="0"/>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B8324F"/>
    <w:multiLevelType w:val="multilevel"/>
    <w:tmpl w:val="46B832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81CDCCA"/>
    <w:multiLevelType w:val="singleLevel"/>
    <w:tmpl w:val="781CDCCA"/>
    <w:lvl w:ilvl="0" w:tentative="0">
      <w:start w:val="1"/>
      <w:numFmt w:val="decimal"/>
      <w:lvlText w:val="%1)"/>
      <w:lvlJc w:val="left"/>
      <w:pPr>
        <w:ind w:left="425" w:hanging="425"/>
      </w:pPr>
      <w:rPr>
        <w:rFonts w:hint="default"/>
      </w:rPr>
    </w:lvl>
  </w:abstractNum>
  <w:abstractNum w:abstractNumId="7">
    <w:nsid w:val="7A515386"/>
    <w:multiLevelType w:val="multilevel"/>
    <w:tmpl w:val="7A515386"/>
    <w:lvl w:ilvl="0" w:tentative="0">
      <w:start w:val="1"/>
      <w:numFmt w:val="decimal"/>
      <w:lvlText w:val="%1．"/>
      <w:lvlJc w:val="left"/>
      <w:pPr>
        <w:tabs>
          <w:tab w:val="left" w:pos="1140"/>
        </w:tabs>
        <w:ind w:left="1140" w:hanging="720"/>
      </w:pPr>
    </w:lvl>
    <w:lvl w:ilvl="1" w:tentative="0">
      <w:start w:val="1"/>
      <w:numFmt w:val="decimal"/>
      <w:pStyle w:val="64"/>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FC85F41"/>
    <w:multiLevelType w:val="multilevel"/>
    <w:tmpl w:val="7FC85F41"/>
    <w:lvl w:ilvl="0" w:tentative="0">
      <w:start w:val="1"/>
      <w:numFmt w:val="decimal"/>
      <w:lvlText w:val="%1."/>
      <w:lvlJc w:val="left"/>
      <w:pPr>
        <w:ind w:left="540" w:hanging="360"/>
      </w:pPr>
      <w:rPr>
        <w:rFonts w:ascii="宋体" w:hAnsi="宋体" w:eastAsia="宋体"/>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num w:numId="1">
    <w:abstractNumId w:val="2"/>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kNDNlNzc2ZTY4ZDQ2YmM1ODllZGE2N2M0MGI1NTQifQ=="/>
  </w:docVars>
  <w:rsids>
    <w:rsidRoot w:val="000423C4"/>
    <w:rsid w:val="000423C4"/>
    <w:rsid w:val="00061FF4"/>
    <w:rsid w:val="00075ED5"/>
    <w:rsid w:val="000813D7"/>
    <w:rsid w:val="000D59EA"/>
    <w:rsid w:val="00140AEA"/>
    <w:rsid w:val="002069BB"/>
    <w:rsid w:val="00276C9D"/>
    <w:rsid w:val="002A7BBF"/>
    <w:rsid w:val="0031142D"/>
    <w:rsid w:val="00367331"/>
    <w:rsid w:val="00382784"/>
    <w:rsid w:val="003B4AF0"/>
    <w:rsid w:val="00491764"/>
    <w:rsid w:val="004B585A"/>
    <w:rsid w:val="004C254F"/>
    <w:rsid w:val="00545CDB"/>
    <w:rsid w:val="005975AC"/>
    <w:rsid w:val="006108E5"/>
    <w:rsid w:val="00656AAC"/>
    <w:rsid w:val="006B1F22"/>
    <w:rsid w:val="007963BE"/>
    <w:rsid w:val="00863A14"/>
    <w:rsid w:val="008705D9"/>
    <w:rsid w:val="00875704"/>
    <w:rsid w:val="009020ED"/>
    <w:rsid w:val="009643FF"/>
    <w:rsid w:val="009F36FC"/>
    <w:rsid w:val="009F7BE4"/>
    <w:rsid w:val="00A203BE"/>
    <w:rsid w:val="00A258C1"/>
    <w:rsid w:val="00AD1187"/>
    <w:rsid w:val="00AD4A5F"/>
    <w:rsid w:val="00C527B1"/>
    <w:rsid w:val="00C62A4B"/>
    <w:rsid w:val="00C6340F"/>
    <w:rsid w:val="00C737FE"/>
    <w:rsid w:val="00DA3A28"/>
    <w:rsid w:val="00DB76C2"/>
    <w:rsid w:val="00F30FC5"/>
    <w:rsid w:val="00F60BC0"/>
    <w:rsid w:val="00F715A8"/>
    <w:rsid w:val="06B9721E"/>
    <w:rsid w:val="095613FD"/>
    <w:rsid w:val="0E1B1313"/>
    <w:rsid w:val="0EA41FB1"/>
    <w:rsid w:val="126B0108"/>
    <w:rsid w:val="13025F87"/>
    <w:rsid w:val="19827807"/>
    <w:rsid w:val="2A0B1083"/>
    <w:rsid w:val="2E6333A8"/>
    <w:rsid w:val="3E6E464D"/>
    <w:rsid w:val="3F18540F"/>
    <w:rsid w:val="50134919"/>
    <w:rsid w:val="53EB521C"/>
    <w:rsid w:val="5688544C"/>
    <w:rsid w:val="57434D6F"/>
    <w:rsid w:val="5FB32A6C"/>
    <w:rsid w:val="6A3200DB"/>
    <w:rsid w:val="74193B00"/>
    <w:rsid w:val="7DB0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360" w:lineRule="auto"/>
      <w:jc w:val="center"/>
      <w:outlineLvl w:val="0"/>
    </w:pPr>
    <w:rPr>
      <w:rFonts w:eastAsia="黑体"/>
      <w:b/>
      <w:bCs/>
      <w:kern w:val="44"/>
      <w:sz w:val="32"/>
      <w:szCs w:val="32"/>
    </w:rPr>
  </w:style>
  <w:style w:type="paragraph" w:styleId="3">
    <w:name w:val="heading 2"/>
    <w:basedOn w:val="1"/>
    <w:next w:val="1"/>
    <w:link w:val="35"/>
    <w:qFormat/>
    <w:uiPriority w:val="0"/>
    <w:pPr>
      <w:keepNext/>
      <w:keepLines/>
      <w:spacing w:before="260" w:after="260" w:line="360" w:lineRule="auto"/>
      <w:jc w:val="left"/>
      <w:outlineLvl w:val="1"/>
    </w:pPr>
    <w:rPr>
      <w:rFonts w:ascii="宋体" w:hAnsi="宋体" w:eastAsia="黑体" w:cs="宋体"/>
      <w:sz w:val="28"/>
      <w:szCs w:val="28"/>
    </w:rPr>
  </w:style>
  <w:style w:type="paragraph" w:styleId="4">
    <w:name w:val="heading 3"/>
    <w:basedOn w:val="1"/>
    <w:next w:val="1"/>
    <w:link w:val="36"/>
    <w:autoRedefine/>
    <w:qFormat/>
    <w:uiPriority w:val="0"/>
    <w:pPr>
      <w:keepNext/>
      <w:keepLines/>
      <w:shd w:val="pct10" w:color="auto" w:fill="FFFFFF"/>
      <w:spacing w:before="260" w:after="260" w:line="360" w:lineRule="auto"/>
      <w:outlineLvl w:val="2"/>
    </w:pPr>
    <w:rPr>
      <w:rFonts w:ascii="宋体" w:hAnsi="宋体" w:eastAsia="黑体"/>
      <w:b/>
      <w:bCs/>
      <w:szCs w:val="21"/>
    </w:rPr>
  </w:style>
  <w:style w:type="paragraph" w:styleId="5">
    <w:name w:val="heading 4"/>
    <w:basedOn w:val="1"/>
    <w:next w:val="1"/>
    <w:link w:val="37"/>
    <w:autoRedefine/>
    <w:qFormat/>
    <w:uiPriority w:val="0"/>
    <w:pPr>
      <w:keepNext/>
      <w:numPr>
        <w:ilvl w:val="3"/>
        <w:numId w:val="1"/>
      </w:numPr>
      <w:spacing w:line="360" w:lineRule="auto"/>
      <w:jc w:val="left"/>
      <w:outlineLvl w:val="3"/>
    </w:pPr>
    <w:rPr>
      <w:rFonts w:ascii="宋体" w:hAnsi="宋体" w:cs="宋体"/>
      <w:szCs w:val="21"/>
    </w:rPr>
  </w:style>
  <w:style w:type="paragraph" w:styleId="6">
    <w:name w:val="heading 5"/>
    <w:basedOn w:val="1"/>
    <w:next w:val="1"/>
    <w:link w:val="38"/>
    <w:autoRedefine/>
    <w:qFormat/>
    <w:uiPriority w:val="9"/>
    <w:pPr>
      <w:keepNext/>
      <w:keepLines/>
      <w:spacing w:before="280" w:after="290" w:line="374" w:lineRule="auto"/>
      <w:outlineLvl w:val="4"/>
    </w:pPr>
    <w:rPr>
      <w:b/>
      <w:bCs/>
      <w:sz w:val="28"/>
      <w:szCs w:val="28"/>
    </w:rPr>
  </w:style>
  <w:style w:type="paragraph" w:styleId="7">
    <w:name w:val="heading 6"/>
    <w:basedOn w:val="1"/>
    <w:next w:val="1"/>
    <w:link w:val="39"/>
    <w:autoRedefine/>
    <w:qFormat/>
    <w:uiPriority w:val="9"/>
    <w:pPr>
      <w:keepNext/>
      <w:keepLines/>
      <w:spacing w:before="240" w:after="64" w:line="319" w:lineRule="auto"/>
      <w:outlineLvl w:val="5"/>
    </w:pPr>
    <w:rPr>
      <w:rFonts w:ascii="Cambria" w:hAnsi="Cambria"/>
      <w:b/>
      <w:bCs/>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unhideWhenUsed/>
    <w:qFormat/>
    <w:uiPriority w:val="0"/>
    <w:pPr>
      <w:ind w:firstLine="420"/>
    </w:pPr>
    <w:rPr>
      <w:rFonts w:ascii="Arial" w:hAnsi="Arial"/>
      <w:szCs w:val="20"/>
    </w:rPr>
  </w:style>
  <w:style w:type="paragraph" w:styleId="9">
    <w:name w:val="caption"/>
    <w:basedOn w:val="1"/>
    <w:next w:val="1"/>
    <w:autoRedefine/>
    <w:semiHidden/>
    <w:unhideWhenUsed/>
    <w:qFormat/>
    <w:uiPriority w:val="35"/>
    <w:rPr>
      <w:rFonts w:eastAsia="黑体" w:asciiTheme="majorHAnsi" w:hAnsiTheme="majorHAnsi" w:cstheme="majorBidi"/>
      <w:sz w:val="20"/>
      <w:szCs w:val="20"/>
    </w:rPr>
  </w:style>
  <w:style w:type="paragraph" w:styleId="10">
    <w:name w:val="annotation text"/>
    <w:basedOn w:val="1"/>
    <w:link w:val="40"/>
    <w:autoRedefine/>
    <w:unhideWhenUsed/>
    <w:qFormat/>
    <w:uiPriority w:val="99"/>
    <w:pPr>
      <w:jc w:val="left"/>
    </w:pPr>
  </w:style>
  <w:style w:type="paragraph" w:styleId="11">
    <w:name w:val="Body Text"/>
    <w:basedOn w:val="1"/>
    <w:link w:val="41"/>
    <w:autoRedefine/>
    <w:unhideWhenUsed/>
    <w:qFormat/>
    <w:uiPriority w:val="99"/>
    <w:rPr>
      <w:rFonts w:ascii="Arial" w:hAnsi="Arial"/>
      <w:color w:val="000000"/>
    </w:rPr>
  </w:style>
  <w:style w:type="paragraph" w:styleId="12">
    <w:name w:val="Body Text Indent"/>
    <w:basedOn w:val="1"/>
    <w:link w:val="42"/>
    <w:autoRedefine/>
    <w:unhideWhenUsed/>
    <w:qFormat/>
    <w:uiPriority w:val="0"/>
    <w:pPr>
      <w:adjustRightInd w:val="0"/>
      <w:spacing w:after="120" w:line="360" w:lineRule="atLeast"/>
      <w:ind w:left="200" w:leftChars="200"/>
      <w:jc w:val="left"/>
    </w:pPr>
    <w:rPr>
      <w:kern w:val="0"/>
      <w:sz w:val="24"/>
      <w:szCs w:val="20"/>
    </w:rPr>
  </w:style>
  <w:style w:type="paragraph" w:styleId="13">
    <w:name w:val="toc 3"/>
    <w:basedOn w:val="1"/>
    <w:next w:val="1"/>
    <w:autoRedefine/>
    <w:unhideWhenUsed/>
    <w:qFormat/>
    <w:uiPriority w:val="0"/>
    <w:pPr>
      <w:tabs>
        <w:tab w:val="right" w:leader="dot" w:pos="9628"/>
      </w:tabs>
      <w:ind w:left="840" w:leftChars="400" w:firstLine="420" w:firstLineChars="200"/>
    </w:pPr>
    <w:rPr>
      <w:rFonts w:ascii="宋体" w:hAnsi="宋体"/>
      <w:szCs w:val="21"/>
    </w:rPr>
  </w:style>
  <w:style w:type="paragraph" w:styleId="14">
    <w:name w:val="Plain Text"/>
    <w:basedOn w:val="1"/>
    <w:link w:val="43"/>
    <w:autoRedefine/>
    <w:unhideWhenUsed/>
    <w:qFormat/>
    <w:uiPriority w:val="0"/>
    <w:rPr>
      <w:rFonts w:ascii="宋体" w:hAnsi="Courier New"/>
      <w:kern w:val="0"/>
      <w:sz w:val="20"/>
      <w:szCs w:val="21"/>
    </w:rPr>
  </w:style>
  <w:style w:type="paragraph" w:styleId="15">
    <w:name w:val="Balloon Text"/>
    <w:basedOn w:val="1"/>
    <w:link w:val="44"/>
    <w:autoRedefine/>
    <w:unhideWhenUsed/>
    <w:qFormat/>
    <w:uiPriority w:val="99"/>
    <w:rPr>
      <w:sz w:val="18"/>
      <w:szCs w:val="18"/>
    </w:rPr>
  </w:style>
  <w:style w:type="paragraph" w:styleId="16">
    <w:name w:val="footer"/>
    <w:basedOn w:val="1"/>
    <w:link w:val="45"/>
    <w:autoRedefine/>
    <w:qFormat/>
    <w:uiPriority w:val="99"/>
    <w:pPr>
      <w:tabs>
        <w:tab w:val="center" w:pos="4153"/>
        <w:tab w:val="right" w:pos="8306"/>
      </w:tabs>
      <w:snapToGrid w:val="0"/>
      <w:jc w:val="left"/>
    </w:pPr>
    <w:rPr>
      <w:sz w:val="18"/>
      <w:szCs w:val="18"/>
    </w:rPr>
  </w:style>
  <w:style w:type="paragraph" w:styleId="17">
    <w:name w:val="header"/>
    <w:basedOn w:val="1"/>
    <w:link w:val="46"/>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tabs>
        <w:tab w:val="right" w:leader="dot" w:pos="8777"/>
      </w:tabs>
      <w:spacing w:before="120" w:after="120"/>
      <w:jc w:val="center"/>
    </w:pPr>
    <w:rPr>
      <w:b/>
      <w:bCs/>
      <w:caps/>
      <w:sz w:val="28"/>
      <w:szCs w:val="28"/>
    </w:rPr>
  </w:style>
  <w:style w:type="paragraph" w:styleId="19">
    <w:name w:val="toc 4"/>
    <w:basedOn w:val="1"/>
    <w:next w:val="1"/>
    <w:autoRedefine/>
    <w:unhideWhenUsed/>
    <w:qFormat/>
    <w:uiPriority w:val="0"/>
    <w:pPr>
      <w:tabs>
        <w:tab w:val="right" w:leader="dot" w:pos="9628"/>
      </w:tabs>
      <w:ind w:left="1260" w:leftChars="600" w:firstLine="420" w:firstLineChars="200"/>
    </w:pPr>
  </w:style>
  <w:style w:type="paragraph" w:styleId="20">
    <w:name w:val="footnote text"/>
    <w:basedOn w:val="1"/>
    <w:link w:val="47"/>
    <w:unhideWhenUsed/>
    <w:qFormat/>
    <w:uiPriority w:val="99"/>
    <w:pPr>
      <w:snapToGrid w:val="0"/>
      <w:jc w:val="left"/>
    </w:pPr>
    <w:rPr>
      <w:sz w:val="18"/>
      <w:szCs w:val="18"/>
    </w:rPr>
  </w:style>
  <w:style w:type="paragraph" w:styleId="21">
    <w:name w:val="Body Text Indent 3"/>
    <w:basedOn w:val="1"/>
    <w:link w:val="48"/>
    <w:unhideWhenUsed/>
    <w:qFormat/>
    <w:uiPriority w:val="0"/>
    <w:pPr>
      <w:adjustRightInd w:val="0"/>
      <w:spacing w:after="120" w:line="360" w:lineRule="atLeast"/>
      <w:ind w:left="200" w:leftChars="200"/>
      <w:jc w:val="left"/>
    </w:pPr>
    <w:rPr>
      <w:kern w:val="0"/>
      <w:sz w:val="16"/>
      <w:szCs w:val="16"/>
    </w:rPr>
  </w:style>
  <w:style w:type="paragraph" w:styleId="22">
    <w:name w:val="toc 2"/>
    <w:basedOn w:val="1"/>
    <w:next w:val="1"/>
    <w:unhideWhenUsed/>
    <w:qFormat/>
    <w:uiPriority w:val="39"/>
    <w:pPr>
      <w:tabs>
        <w:tab w:val="right" w:leader="dot" w:pos="8777"/>
      </w:tabs>
      <w:ind w:left="210"/>
      <w:jc w:val="left"/>
    </w:pPr>
    <w:rPr>
      <w:smallCaps/>
      <w:sz w:val="20"/>
      <w:szCs w:val="20"/>
    </w:rPr>
  </w:style>
  <w:style w:type="paragraph" w:styleId="23">
    <w:name w:val="HTML Preformatted"/>
    <w:basedOn w:val="1"/>
    <w:link w:val="49"/>
    <w:autoRedefine/>
    <w:unhideWhenUsed/>
    <w:qFormat/>
    <w:uiPriority w:val="99"/>
    <w:rPr>
      <w:rFonts w:ascii="Courier New" w:hAnsi="Courier New"/>
      <w:sz w:val="20"/>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10"/>
    <w:next w:val="10"/>
    <w:link w:val="50"/>
    <w:autoRedefine/>
    <w:unhideWhenUsed/>
    <w:qFormat/>
    <w:uiPriority w:val="99"/>
    <w:rPr>
      <w:b/>
      <w:bCs/>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semiHidden/>
    <w:qFormat/>
    <w:uiPriority w:val="0"/>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unhideWhenUsed/>
    <w:qFormat/>
    <w:uiPriority w:val="99"/>
    <w:rPr>
      <w:sz w:val="21"/>
      <w:szCs w:val="21"/>
    </w:rPr>
  </w:style>
  <w:style w:type="character" w:styleId="33">
    <w:name w:val="footnote reference"/>
    <w:autoRedefine/>
    <w:unhideWhenUsed/>
    <w:qFormat/>
    <w:uiPriority w:val="99"/>
    <w:rPr>
      <w:vertAlign w:val="superscript"/>
    </w:rPr>
  </w:style>
  <w:style w:type="character" w:customStyle="1" w:styleId="34">
    <w:name w:val="标题 1 字符"/>
    <w:link w:val="2"/>
    <w:autoRedefine/>
    <w:qFormat/>
    <w:uiPriority w:val="0"/>
    <w:rPr>
      <w:rFonts w:eastAsia="黑体"/>
      <w:b/>
      <w:bCs/>
      <w:kern w:val="44"/>
      <w:sz w:val="32"/>
      <w:szCs w:val="32"/>
    </w:rPr>
  </w:style>
  <w:style w:type="character" w:customStyle="1" w:styleId="35">
    <w:name w:val="标题 2 字符"/>
    <w:link w:val="3"/>
    <w:autoRedefine/>
    <w:qFormat/>
    <w:uiPriority w:val="0"/>
    <w:rPr>
      <w:rFonts w:ascii="宋体" w:hAnsi="宋体" w:eastAsia="黑体" w:cs="宋体"/>
      <w:kern w:val="2"/>
      <w:sz w:val="28"/>
      <w:szCs w:val="28"/>
    </w:rPr>
  </w:style>
  <w:style w:type="character" w:customStyle="1" w:styleId="36">
    <w:name w:val="标题 3 字符"/>
    <w:link w:val="4"/>
    <w:autoRedefine/>
    <w:qFormat/>
    <w:uiPriority w:val="0"/>
    <w:rPr>
      <w:rFonts w:ascii="宋体" w:hAnsi="宋体" w:eastAsia="黑体"/>
      <w:b/>
      <w:bCs/>
      <w:kern w:val="2"/>
      <w:sz w:val="21"/>
      <w:szCs w:val="21"/>
      <w:shd w:val="pct10" w:color="auto" w:fill="FFFFFF"/>
    </w:rPr>
  </w:style>
  <w:style w:type="character" w:customStyle="1" w:styleId="37">
    <w:name w:val="标题 4 字符"/>
    <w:link w:val="5"/>
    <w:autoRedefine/>
    <w:qFormat/>
    <w:uiPriority w:val="0"/>
    <w:rPr>
      <w:rFonts w:ascii="宋体" w:hAnsi="宋体" w:cs="宋体"/>
      <w:kern w:val="2"/>
      <w:sz w:val="21"/>
      <w:szCs w:val="21"/>
    </w:rPr>
  </w:style>
  <w:style w:type="character" w:customStyle="1" w:styleId="38">
    <w:name w:val="标题 5 字符"/>
    <w:link w:val="6"/>
    <w:autoRedefine/>
    <w:qFormat/>
    <w:uiPriority w:val="9"/>
    <w:rPr>
      <w:b/>
      <w:bCs/>
      <w:kern w:val="2"/>
      <w:sz w:val="28"/>
      <w:szCs w:val="28"/>
    </w:rPr>
  </w:style>
  <w:style w:type="character" w:customStyle="1" w:styleId="39">
    <w:name w:val="标题 6 字符"/>
    <w:link w:val="7"/>
    <w:autoRedefine/>
    <w:qFormat/>
    <w:uiPriority w:val="9"/>
    <w:rPr>
      <w:rFonts w:ascii="Cambria" w:hAnsi="Cambria"/>
      <w:b/>
      <w:bCs/>
      <w:kern w:val="2"/>
      <w:sz w:val="24"/>
      <w:szCs w:val="24"/>
    </w:rPr>
  </w:style>
  <w:style w:type="character" w:customStyle="1" w:styleId="40">
    <w:name w:val="批注文字 字符"/>
    <w:link w:val="10"/>
    <w:autoRedefine/>
    <w:qFormat/>
    <w:uiPriority w:val="99"/>
    <w:rPr>
      <w:kern w:val="2"/>
      <w:sz w:val="21"/>
      <w:szCs w:val="24"/>
    </w:rPr>
  </w:style>
  <w:style w:type="character" w:customStyle="1" w:styleId="41">
    <w:name w:val="正文文本 字符"/>
    <w:link w:val="11"/>
    <w:autoRedefine/>
    <w:qFormat/>
    <w:uiPriority w:val="99"/>
    <w:rPr>
      <w:rFonts w:ascii="Arial" w:hAnsi="Arial"/>
      <w:color w:val="000000"/>
      <w:kern w:val="2"/>
      <w:sz w:val="21"/>
      <w:szCs w:val="24"/>
    </w:rPr>
  </w:style>
  <w:style w:type="character" w:customStyle="1" w:styleId="42">
    <w:name w:val="正文文本缩进 字符"/>
    <w:link w:val="12"/>
    <w:autoRedefine/>
    <w:qFormat/>
    <w:uiPriority w:val="0"/>
    <w:rPr>
      <w:sz w:val="24"/>
    </w:rPr>
  </w:style>
  <w:style w:type="character" w:customStyle="1" w:styleId="43">
    <w:name w:val="纯文本 字符"/>
    <w:link w:val="14"/>
    <w:autoRedefine/>
    <w:qFormat/>
    <w:uiPriority w:val="0"/>
    <w:rPr>
      <w:rFonts w:ascii="宋体" w:hAnsi="Courier New"/>
      <w:szCs w:val="21"/>
    </w:rPr>
  </w:style>
  <w:style w:type="character" w:customStyle="1" w:styleId="44">
    <w:name w:val="批注框文本 字符"/>
    <w:link w:val="15"/>
    <w:autoRedefine/>
    <w:qFormat/>
    <w:uiPriority w:val="99"/>
    <w:rPr>
      <w:kern w:val="2"/>
      <w:sz w:val="18"/>
      <w:szCs w:val="18"/>
    </w:rPr>
  </w:style>
  <w:style w:type="character" w:customStyle="1" w:styleId="45">
    <w:name w:val="页脚 字符"/>
    <w:link w:val="16"/>
    <w:autoRedefine/>
    <w:qFormat/>
    <w:uiPriority w:val="99"/>
    <w:rPr>
      <w:kern w:val="2"/>
      <w:sz w:val="18"/>
      <w:szCs w:val="18"/>
    </w:rPr>
  </w:style>
  <w:style w:type="character" w:customStyle="1" w:styleId="46">
    <w:name w:val="页眉 字符"/>
    <w:link w:val="17"/>
    <w:autoRedefine/>
    <w:qFormat/>
    <w:uiPriority w:val="99"/>
    <w:rPr>
      <w:kern w:val="2"/>
      <w:sz w:val="18"/>
      <w:szCs w:val="18"/>
    </w:rPr>
  </w:style>
  <w:style w:type="character" w:customStyle="1" w:styleId="47">
    <w:name w:val="脚注文本 字符"/>
    <w:link w:val="20"/>
    <w:autoRedefine/>
    <w:qFormat/>
    <w:uiPriority w:val="99"/>
    <w:rPr>
      <w:kern w:val="2"/>
      <w:sz w:val="18"/>
      <w:szCs w:val="18"/>
    </w:rPr>
  </w:style>
  <w:style w:type="character" w:customStyle="1" w:styleId="48">
    <w:name w:val="正文文本缩进 3 字符"/>
    <w:link w:val="21"/>
    <w:autoRedefine/>
    <w:qFormat/>
    <w:uiPriority w:val="0"/>
    <w:rPr>
      <w:sz w:val="16"/>
      <w:szCs w:val="16"/>
    </w:rPr>
  </w:style>
  <w:style w:type="character" w:customStyle="1" w:styleId="49">
    <w:name w:val="HTML 预设格式 字符"/>
    <w:link w:val="23"/>
    <w:autoRedefine/>
    <w:qFormat/>
    <w:uiPriority w:val="99"/>
    <w:rPr>
      <w:rFonts w:ascii="Courier New" w:hAnsi="Courier New"/>
      <w:kern w:val="2"/>
      <w:szCs w:val="24"/>
    </w:rPr>
  </w:style>
  <w:style w:type="character" w:customStyle="1" w:styleId="50">
    <w:name w:val="批注主题 字符"/>
    <w:link w:val="25"/>
    <w:autoRedefine/>
    <w:qFormat/>
    <w:uiPriority w:val="99"/>
    <w:rPr>
      <w:b/>
      <w:bCs/>
      <w:kern w:val="2"/>
      <w:sz w:val="21"/>
      <w:szCs w:val="24"/>
    </w:rPr>
  </w:style>
  <w:style w:type="character" w:customStyle="1" w:styleId="51">
    <w:name w:val="标题 1 Char1"/>
    <w:autoRedefine/>
    <w:qFormat/>
    <w:uiPriority w:val="0"/>
    <w:rPr>
      <w:b/>
      <w:bCs/>
      <w:kern w:val="44"/>
      <w:sz w:val="44"/>
      <w:szCs w:val="44"/>
    </w:rPr>
  </w:style>
  <w:style w:type="character" w:customStyle="1" w:styleId="52">
    <w:name w:val="标题 2 Char1"/>
    <w:semiHidden/>
    <w:qFormat/>
    <w:uiPriority w:val="0"/>
    <w:rPr>
      <w:rFonts w:hint="default" w:ascii="Cambria" w:hAnsi="Cambria" w:eastAsia="宋体" w:cs="Times New Roman"/>
      <w:b/>
      <w:bCs/>
      <w:kern w:val="2"/>
      <w:sz w:val="32"/>
      <w:szCs w:val="32"/>
    </w:rPr>
  </w:style>
  <w:style w:type="character" w:customStyle="1" w:styleId="53">
    <w:name w:val="标题 3 Char1"/>
    <w:semiHidden/>
    <w:qFormat/>
    <w:uiPriority w:val="0"/>
    <w:rPr>
      <w:b/>
      <w:bCs/>
      <w:kern w:val="2"/>
      <w:sz w:val="32"/>
      <w:szCs w:val="32"/>
    </w:rPr>
  </w:style>
  <w:style w:type="character" w:customStyle="1" w:styleId="54">
    <w:name w:val="标题 4 Char1"/>
    <w:semiHidden/>
    <w:qFormat/>
    <w:uiPriority w:val="0"/>
    <w:rPr>
      <w:rFonts w:hint="default" w:ascii="Cambria" w:hAnsi="Cambria" w:eastAsia="宋体" w:cs="Times New Roman"/>
      <w:b/>
      <w:bCs/>
      <w:kern w:val="2"/>
      <w:sz w:val="28"/>
      <w:szCs w:val="28"/>
    </w:rPr>
  </w:style>
  <w:style w:type="character" w:customStyle="1" w:styleId="55">
    <w:name w:val="纯文本 Char1"/>
    <w:semiHidden/>
    <w:qFormat/>
    <w:uiPriority w:val="0"/>
    <w:rPr>
      <w:rFonts w:ascii="宋体" w:hAnsi="Courier New" w:cs="Courier New"/>
      <w:kern w:val="2"/>
      <w:sz w:val="21"/>
      <w:szCs w:val="21"/>
    </w:rPr>
  </w:style>
  <w:style w:type="paragraph" w:customStyle="1" w:styleId="56">
    <w:name w:val="_Style 46"/>
    <w:semiHidden/>
    <w:qFormat/>
    <w:uiPriority w:val="99"/>
    <w:rPr>
      <w:rFonts w:ascii="Times New Roman" w:hAnsi="Times New Roman" w:eastAsia="宋体" w:cs="Times New Roman"/>
      <w:kern w:val="2"/>
      <w:sz w:val="21"/>
      <w:szCs w:val="24"/>
      <w:lang w:val="en-US" w:eastAsia="zh-CN" w:bidi="ar-SA"/>
    </w:rPr>
  </w:style>
  <w:style w:type="paragraph" w:styleId="57">
    <w:name w:val="List Paragraph"/>
    <w:basedOn w:val="1"/>
    <w:qFormat/>
    <w:uiPriority w:val="34"/>
    <w:pPr>
      <w:ind w:firstLine="420" w:firstLineChars="200"/>
    </w:pPr>
  </w:style>
  <w:style w:type="paragraph" w:customStyle="1" w:styleId="58">
    <w:name w:val="样式1"/>
    <w:basedOn w:val="1"/>
    <w:qFormat/>
    <w:uiPriority w:val="99"/>
    <w:pPr>
      <w:adjustRightInd w:val="0"/>
    </w:pPr>
    <w:rPr>
      <w:rFonts w:ascii="宋体" w:hAnsi="宋体"/>
      <w:kern w:val="0"/>
      <w:szCs w:val="21"/>
    </w:rPr>
  </w:style>
  <w:style w:type="paragraph" w:customStyle="1" w:styleId="59">
    <w:name w:val="样式 宋体 五号 行距: 单倍行距"/>
    <w:basedOn w:val="1"/>
    <w:qFormat/>
    <w:uiPriority w:val="0"/>
    <w:pPr>
      <w:adjustRightInd w:val="0"/>
      <w:jc w:val="left"/>
    </w:pPr>
    <w:rPr>
      <w:rFonts w:ascii="宋体" w:hAnsi="宋体" w:cs="宋体"/>
      <w:kern w:val="0"/>
      <w:szCs w:val="20"/>
    </w:rPr>
  </w:style>
  <w:style w:type="paragraph" w:customStyle="1" w:styleId="60">
    <w:name w:val="样式 标题 2 + 宋体 五号 非加粗 黑色"/>
    <w:basedOn w:val="3"/>
    <w:qFormat/>
    <w:uiPriority w:val="0"/>
    <w:pPr>
      <w:adjustRightInd w:val="0"/>
      <w:spacing w:line="416" w:lineRule="atLeast"/>
      <w:ind w:left="240"/>
    </w:pPr>
    <w:rPr>
      <w:rFonts w:eastAsia="宋体" w:cs="Times New Roman"/>
      <w:color w:val="000000"/>
      <w:kern w:val="0"/>
      <w:sz w:val="21"/>
      <w:szCs w:val="32"/>
    </w:rPr>
  </w:style>
  <w:style w:type="paragraph" w:customStyle="1" w:styleId="61">
    <w:name w:val="样式 标题 3h3H3sect1.2.3 + 五号 段前: 6 磅 段后: 6 磅 行距: 单倍行距"/>
    <w:basedOn w:val="4"/>
    <w:qFormat/>
    <w:uiPriority w:val="0"/>
    <w:pPr>
      <w:adjustRightInd w:val="0"/>
      <w:spacing w:before="120" w:after="120" w:line="240" w:lineRule="auto"/>
      <w:jc w:val="left"/>
    </w:pPr>
    <w:rPr>
      <w:rFonts w:ascii="Times New Roman" w:hAnsi="Times New Roman" w:cs="宋体"/>
      <w:b w:val="0"/>
      <w:bCs w:val="0"/>
      <w:kern w:val="0"/>
      <w:szCs w:val="20"/>
    </w:rPr>
  </w:style>
  <w:style w:type="paragraph" w:customStyle="1" w:styleId="62">
    <w:name w:val="样式 标题 4 + 段前: 5 磅 段后: 5 磅 行距: 单倍行距"/>
    <w:basedOn w:val="5"/>
    <w:qFormat/>
    <w:uiPriority w:val="0"/>
    <w:pPr>
      <w:keepLines/>
      <w:adjustRightInd w:val="0"/>
      <w:spacing w:before="100" w:after="100" w:line="240" w:lineRule="auto"/>
    </w:pPr>
    <w:rPr>
      <w:rFonts w:ascii="Arial" w:hAnsi="Arial" w:eastAsia="黑体"/>
      <w:b/>
      <w:bCs/>
      <w:kern w:val="0"/>
      <w:sz w:val="28"/>
      <w:szCs w:val="20"/>
    </w:rPr>
  </w:style>
  <w:style w:type="paragraph" w:customStyle="1" w:styleId="63">
    <w:name w:val="样式 标题 1 + 四号 居中 段前: 12 磅 段后: 12 磅 行距: 单倍行距"/>
    <w:basedOn w:val="2"/>
    <w:qFormat/>
    <w:uiPriority w:val="0"/>
    <w:pPr>
      <w:adjustRightInd w:val="0"/>
      <w:spacing w:before="240" w:after="240" w:line="240" w:lineRule="auto"/>
      <w:ind w:firstLine="288"/>
    </w:pPr>
    <w:rPr>
      <w:rFonts w:eastAsia="宋体" w:cs="宋体"/>
      <w:b w:val="0"/>
      <w:bCs w:val="0"/>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1"/>
        <w:numId w:val="2"/>
      </w:numPr>
      <w:adjustRightInd w:val="0"/>
      <w:spacing w:before="240"/>
      <w:jc w:val="left"/>
      <w:outlineLvl w:val="1"/>
    </w:pPr>
    <w:rPr>
      <w:rFonts w:ascii="宋体" w:hAnsi="宋体" w:cs="宋体"/>
      <w:b/>
      <w:bCs/>
      <w:color w:val="000000"/>
      <w:kern w:val="0"/>
      <w:szCs w:val="20"/>
    </w:rPr>
  </w:style>
  <w:style w:type="paragraph" w:customStyle="1" w:styleId="65">
    <w:name w:val="p0"/>
    <w:basedOn w:val="1"/>
    <w:qFormat/>
    <w:uiPriority w:val="0"/>
    <w:pPr>
      <w:widowControl/>
    </w:pPr>
    <w:rPr>
      <w:kern w:val="0"/>
      <w:szCs w:val="21"/>
    </w:rPr>
  </w:style>
  <w:style w:type="paragraph" w:customStyle="1" w:styleId="66">
    <w:name w:val="浅色网格 - 强调文字颜色 31"/>
    <w:basedOn w:val="1"/>
    <w:qFormat/>
    <w:uiPriority w:val="0"/>
    <w:pPr>
      <w:ind w:firstLine="420" w:firstLineChars="200"/>
    </w:pPr>
  </w:style>
  <w:style w:type="paragraph" w:customStyle="1" w:styleId="67">
    <w:name w:val="列出段落1"/>
    <w:basedOn w:val="1"/>
    <w:qFormat/>
    <w:uiPriority w:val="0"/>
    <w:pPr>
      <w:ind w:firstLine="420" w:firstLineChars="200"/>
    </w:pPr>
  </w:style>
  <w:style w:type="paragraph" w:customStyle="1" w:styleId="68">
    <w:name w:val="普通(网站)1"/>
    <w:semiHidden/>
    <w:qFormat/>
    <w:uiPriority w:val="0"/>
    <w:pPr>
      <w:spacing w:before="100" w:after="100"/>
    </w:pPr>
    <w:rPr>
      <w:rFonts w:ascii="宋体" w:hAnsi="宋体" w:eastAsia="宋体" w:cs="宋体"/>
      <w:color w:val="000000"/>
      <w:sz w:val="24"/>
      <w:szCs w:val="24"/>
      <w:u w:color="000000"/>
      <w:lang w:val="en-US" w:eastAsia="zh-CN" w:bidi="ar-SA"/>
    </w:rPr>
  </w:style>
  <w:style w:type="paragraph" w:customStyle="1" w:styleId="69">
    <w:name w:val="列出段落11"/>
    <w:semiHidden/>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70">
    <w:name w:val="msolistparagraph"/>
    <w:basedOn w:val="1"/>
    <w:qFormat/>
    <w:uiPriority w:val="0"/>
    <w:pPr>
      <w:ind w:firstLine="420" w:firstLineChars="200"/>
    </w:pPr>
    <w:rPr>
      <w:rFonts w:ascii="Calibri" w:hAnsi="Calibri"/>
      <w:szCs w:val="22"/>
    </w:rPr>
  </w:style>
  <w:style w:type="character" w:customStyle="1" w:styleId="71">
    <w:name w:val="font11"/>
    <w:qFormat/>
    <w:uiPriority w:val="0"/>
    <w:rPr>
      <w:rFonts w:hint="eastAsia" w:ascii="仿宋" w:hAnsi="仿宋" w:eastAsia="仿宋" w:cs="仿宋"/>
      <w:color w:val="FF0000"/>
      <w:sz w:val="20"/>
      <w:szCs w:val="20"/>
      <w:u w:val="none"/>
      <w:lang w:val="en-US" w:eastAsia="zh-CN" w:bidi="ar"/>
    </w:rPr>
  </w:style>
  <w:style w:type="character" w:customStyle="1" w:styleId="72">
    <w:name w:val="列表段落 字符"/>
    <w:qFormat/>
    <w:uiPriority w:val="0"/>
    <w:rPr>
      <w:rFonts w:hint="default" w:ascii="Times New Roman" w:hAnsi="Times New Roman" w:eastAsia="宋体" w:cs="Times New Roman"/>
      <w:szCs w:val="24"/>
    </w:rPr>
  </w:style>
  <w:style w:type="paragraph" w:customStyle="1" w:styleId="73">
    <w:name w:val="样式 10 磅13"/>
    <w:basedOn w:val="1"/>
    <w:qFormat/>
    <w:uiPriority w:val="0"/>
  </w:style>
  <w:style w:type="paragraph" w:customStyle="1" w:styleId="74">
    <w:name w:val="_Style 1"/>
    <w:basedOn w:val="1"/>
    <w:qFormat/>
    <w:uiPriority w:val="0"/>
    <w:pPr>
      <w:ind w:left="720"/>
      <w:contextualSpacing/>
    </w:pPr>
    <w:rPr>
      <w:rFonts w:ascii="Calibri" w:hAnsi="Calibri"/>
      <w:szCs w:val="22"/>
    </w:rPr>
  </w:style>
  <w:style w:type="character" w:customStyle="1" w:styleId="75">
    <w:name w:val="标书正文格式 Char"/>
    <w:link w:val="76"/>
    <w:qFormat/>
    <w:uiPriority w:val="0"/>
    <w:rPr>
      <w:rFonts w:ascii="楷体_GB2312" w:eastAsia="楷体_GB2312" w:cs="楷体_GB2312"/>
      <w:sz w:val="24"/>
    </w:rPr>
  </w:style>
  <w:style w:type="paragraph" w:customStyle="1" w:styleId="76">
    <w:name w:val="标书正文格式"/>
    <w:basedOn w:val="1"/>
    <w:link w:val="75"/>
    <w:qFormat/>
    <w:uiPriority w:val="0"/>
    <w:pPr>
      <w:widowControl/>
      <w:spacing w:line="360" w:lineRule="auto"/>
      <w:ind w:firstLine="200" w:firstLineChars="200"/>
      <w:jc w:val="left"/>
    </w:pPr>
    <w:rPr>
      <w:rFonts w:ascii="楷体_GB2312" w:eastAsia="楷体_GB2312" w:cs="楷体_GB2312"/>
      <w:kern w:val="0"/>
      <w:sz w:val="24"/>
      <w:szCs w:val="20"/>
    </w:rPr>
  </w:style>
  <w:style w:type="character" w:customStyle="1" w:styleId="77">
    <w:name w:val="列出段落 Char"/>
    <w:qFormat/>
    <w:uiPriority w:val="0"/>
    <w:rPr>
      <w:rFonts w:hint="default" w:ascii="Arial" w:hAnsi="Arial" w:cs="Arial"/>
      <w:sz w:val="22"/>
    </w:rPr>
  </w:style>
  <w:style w:type="paragraph" w:customStyle="1" w:styleId="78">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text_rubyg"/>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zotn</Company>
  <Pages>69</Pages>
  <Words>9125</Words>
  <Characters>9687</Characters>
  <Lines>397</Lines>
  <Paragraphs>112</Paragraphs>
  <TotalTime>15</TotalTime>
  <ScaleCrop>false</ScaleCrop>
  <LinksUpToDate>false</LinksUpToDate>
  <CharactersWithSpaces>9779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2024-09-19T02:30:00Z</dcterms:created>
  <dc:creator>童琛炳</dc:creator>
  <cp:lastModifiedBy>吴非</cp:lastModifiedBy>
  <dcterms:modified xsi:type="dcterms:W3CDTF">2025-01-15T01:11:00Z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435828857</vt:r8>
  </property>
  <property fmtid="{D5CDD505-2E9C-101B-9397-08002B2CF9AE}" pid="3" name="_EmailSubject">
    <vt:lpwstr>open this word.doc </vt:lpwstr>
  </property>
  <property fmtid="{D5CDD505-2E9C-101B-9397-08002B2CF9AE}" pid="4" name="_AuthorEmail">
    <vt:lpwstr>udoo@staff.zotn.com</vt:lpwstr>
  </property>
  <property fmtid="{D5CDD505-2E9C-101B-9397-08002B2CF9AE}" pid="5" name="_AuthorEmailDisplayName">
    <vt:lpwstr>lvjin</vt:lpwstr>
  </property>
  <property fmtid="{D5CDD505-2E9C-101B-9397-08002B2CF9AE}" pid="6" name="_ReviewingToolsShownOnce">
    <vt:lpwstr/>
  </property>
  <property fmtid="{D5CDD505-2E9C-101B-9397-08002B2CF9AE}" pid="7" name="KSOProductBuildVer">
    <vt:lpwstr>2052-12.1.0.18912</vt:lpwstr>
  </property>
  <property fmtid="{D5CDD505-2E9C-101B-9397-08002B2CF9AE}" pid="8" name="ICV">
    <vt:lpwstr>39B2B84E8CE54A778111376E3497CE6D_13</vt:lpwstr>
  </property>
</Properties>
</file>